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93" w:rsidRPr="00DF5BA1" w:rsidRDefault="000A1093" w:rsidP="00585007">
      <w:pPr>
        <w:pStyle w:val="1"/>
        <w:shd w:val="clear" w:color="auto" w:fill="auto"/>
        <w:spacing w:before="0"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Основные положения </w:t>
      </w:r>
      <w:r w:rsidR="001B676C" w:rsidRPr="00DF5BA1">
        <w:rPr>
          <w:rFonts w:ascii="Liberation Serif" w:hAnsi="Liberation Serif" w:cs="Liberation Serif"/>
          <w:b/>
          <w:sz w:val="28"/>
          <w:szCs w:val="28"/>
          <w:lang w:val="ru-RU"/>
        </w:rPr>
        <w:t>учетной политики</w:t>
      </w:r>
    </w:p>
    <w:p w:rsidR="000A1093" w:rsidRPr="00DF5BA1" w:rsidRDefault="001B676C" w:rsidP="00585007">
      <w:pPr>
        <w:pStyle w:val="1"/>
        <w:shd w:val="clear" w:color="auto" w:fill="auto"/>
        <w:spacing w:before="0"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 w:rsidR="00C6725B" w:rsidRPr="00DF5BA1">
        <w:rPr>
          <w:rFonts w:ascii="Liberation Serif" w:hAnsi="Liberation Serif" w:cs="Liberation Serif"/>
          <w:b/>
          <w:sz w:val="28"/>
          <w:szCs w:val="28"/>
          <w:lang w:val="ru-RU"/>
        </w:rPr>
        <w:t>Муниципального казенного учреждения «Централизованная бухгалтерия Шалинского городского округа»</w:t>
      </w:r>
      <w:r w:rsidRPr="00DF5BA1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</w:p>
    <w:p w:rsidR="002F6E31" w:rsidRPr="00DF5BA1" w:rsidRDefault="001B676C" w:rsidP="00585007">
      <w:pPr>
        <w:pStyle w:val="1"/>
        <w:shd w:val="clear" w:color="auto" w:fill="auto"/>
        <w:spacing w:before="0"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b/>
          <w:sz w:val="28"/>
          <w:szCs w:val="28"/>
          <w:lang w:val="ru-RU"/>
        </w:rPr>
        <w:t>для публичного раскрытия на официальном сайте в  информационно-телекоммуникационной</w:t>
      </w:r>
      <w:r w:rsidR="000F0E97" w:rsidRPr="00DF5BA1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 w:rsidRPr="00DF5BA1">
        <w:rPr>
          <w:rFonts w:ascii="Liberation Serif" w:hAnsi="Liberation Serif" w:cs="Liberation Serif"/>
          <w:b/>
          <w:sz w:val="28"/>
          <w:szCs w:val="28"/>
          <w:lang w:val="ru-RU"/>
        </w:rPr>
        <w:t>сети «Интерне</w:t>
      </w:r>
      <w:r w:rsidR="000F0E97" w:rsidRPr="00DF5BA1">
        <w:rPr>
          <w:rFonts w:ascii="Liberation Serif" w:hAnsi="Liberation Serif" w:cs="Liberation Serif"/>
          <w:b/>
          <w:sz w:val="28"/>
          <w:szCs w:val="28"/>
          <w:lang w:val="ru-RU"/>
        </w:rPr>
        <w:t>т»</w:t>
      </w:r>
      <w:r w:rsidRPr="00DF5BA1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в соответствии с приказом Министерства</w:t>
      </w:r>
      <w:r w:rsidR="000F0E97" w:rsidRPr="00DF5BA1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 w:rsidRPr="00DF5BA1">
        <w:rPr>
          <w:rFonts w:ascii="Liberation Serif" w:hAnsi="Liberation Serif" w:cs="Liberation Serif"/>
          <w:b/>
          <w:sz w:val="28"/>
          <w:szCs w:val="28"/>
          <w:lang w:val="ru-RU"/>
        </w:rPr>
        <w:t>финансов Российской  Федерации от 30</w:t>
      </w:r>
      <w:r w:rsidR="000F0E97" w:rsidRPr="00DF5BA1">
        <w:rPr>
          <w:rFonts w:ascii="Liberation Serif" w:hAnsi="Liberation Serif" w:cs="Liberation Serif"/>
          <w:b/>
          <w:sz w:val="28"/>
          <w:szCs w:val="28"/>
          <w:lang w:val="ru-RU"/>
        </w:rPr>
        <w:t>.12.2017 №</w:t>
      </w:r>
      <w:r w:rsidRPr="00DF5BA1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274н</w:t>
      </w:r>
      <w:r w:rsidR="000F0E97" w:rsidRPr="00DF5BA1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 w:rsidRPr="00DF5BA1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«Об утверждении федерального стандарта бухгалтерского учета для организаций государственного сектора «Учетная политика, оценочные значения и </w:t>
      </w:r>
      <w:r w:rsidR="000A1093" w:rsidRPr="00DF5BA1">
        <w:rPr>
          <w:rFonts w:ascii="Liberation Serif" w:hAnsi="Liberation Serif" w:cs="Liberation Serif"/>
          <w:b/>
          <w:sz w:val="28"/>
          <w:szCs w:val="28"/>
          <w:lang w:val="ru-RU"/>
        </w:rPr>
        <w:t>о</w:t>
      </w:r>
      <w:r w:rsidRPr="00DF5BA1">
        <w:rPr>
          <w:rFonts w:ascii="Liberation Serif" w:hAnsi="Liberation Serif" w:cs="Liberation Serif"/>
          <w:b/>
          <w:sz w:val="28"/>
          <w:szCs w:val="28"/>
          <w:lang w:val="ru-RU"/>
        </w:rPr>
        <w:t>шибки»</w:t>
      </w:r>
    </w:p>
    <w:p w:rsidR="002F6E31" w:rsidRPr="00DF5BA1" w:rsidRDefault="002F6E31">
      <w:pPr>
        <w:pStyle w:val="a3"/>
        <w:spacing w:before="9"/>
        <w:jc w:val="left"/>
        <w:rPr>
          <w:rFonts w:ascii="Liberation Serif" w:hAnsi="Liberation Serif" w:cs="Liberation Serif"/>
          <w:b/>
          <w:sz w:val="16"/>
          <w:szCs w:val="16"/>
          <w:lang w:val="ru-RU"/>
        </w:rPr>
      </w:pPr>
    </w:p>
    <w:p w:rsidR="002D2F93" w:rsidRPr="004C1809" w:rsidRDefault="004C1809" w:rsidP="004C1809">
      <w:pPr>
        <w:widowControl/>
        <w:shd w:val="clear" w:color="auto" w:fill="FFFFFF"/>
        <w:autoSpaceDE/>
        <w:autoSpaceDN/>
        <w:jc w:val="both"/>
        <w:rPr>
          <w:color w:val="000000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          </w:t>
      </w:r>
      <w:r w:rsidR="009747BD" w:rsidRPr="00DF5BA1">
        <w:rPr>
          <w:rFonts w:ascii="Liberation Serif" w:hAnsi="Liberation Serif" w:cs="Liberation Serif"/>
          <w:sz w:val="28"/>
          <w:szCs w:val="28"/>
          <w:lang w:val="ru-RU"/>
        </w:rPr>
        <w:t>Единая учетная политики при централизации учета, о</w:t>
      </w:r>
      <w:r w:rsidR="001B676C" w:rsidRPr="00DF5BA1">
        <w:rPr>
          <w:rFonts w:ascii="Liberation Serif" w:hAnsi="Liberation Serif" w:cs="Liberation Serif"/>
          <w:sz w:val="28"/>
          <w:szCs w:val="28"/>
          <w:lang w:val="ru-RU"/>
        </w:rPr>
        <w:t>рганизаци</w:t>
      </w:r>
      <w:r w:rsidR="009747BD" w:rsidRPr="00DF5BA1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="001B676C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ведения бюджетного</w:t>
      </w:r>
      <w:r w:rsidR="00B04DA9">
        <w:rPr>
          <w:rFonts w:ascii="Liberation Serif" w:hAnsi="Liberation Serif" w:cs="Liberation Serif"/>
          <w:sz w:val="28"/>
          <w:szCs w:val="28"/>
          <w:lang w:val="ru-RU"/>
        </w:rPr>
        <w:t xml:space="preserve"> (бухгалтерского)</w:t>
      </w:r>
      <w:r w:rsidR="001B676C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учета и ф</w:t>
      </w:r>
      <w:r w:rsidR="00B04DA9">
        <w:rPr>
          <w:rFonts w:ascii="Liberation Serif" w:hAnsi="Liberation Serif" w:cs="Liberation Serif"/>
          <w:sz w:val="28"/>
          <w:szCs w:val="28"/>
          <w:lang w:val="ru-RU"/>
        </w:rPr>
        <w:t>ормирование бюджетной (бухгалтерской) отчетности</w:t>
      </w:r>
      <w:r w:rsidR="001B676C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регламентируются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требованиями</w:t>
      </w:r>
      <w:r w:rsidR="00515AE5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A703B7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Бюджетного кодекса Российской Федерации,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Федерального закона</w:t>
      </w:r>
      <w:r w:rsidR="002D2F93"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от</w:t>
      </w:r>
      <w:r w:rsidR="00515AE5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06.12.2011</w:t>
      </w:r>
      <w:r w:rsidR="002D2F93"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="002D2F93"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402-ФЗ</w:t>
      </w:r>
      <w:r w:rsidR="002D2F93"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«О бухгалтерском учете»</w:t>
      </w:r>
      <w:r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Pr="004C1809">
        <w:rPr>
          <w:color w:val="000000"/>
          <w:sz w:val="26"/>
          <w:szCs w:val="26"/>
          <w:lang w:val="ru-RU"/>
        </w:rPr>
        <w:t xml:space="preserve"> </w:t>
      </w:r>
      <w:r w:rsidRPr="004C1809">
        <w:rPr>
          <w:rFonts w:ascii="Liberation Serif" w:hAnsi="Liberation Serif"/>
          <w:color w:val="000000"/>
          <w:sz w:val="28"/>
          <w:szCs w:val="28"/>
          <w:lang w:val="ru-RU" w:eastAsia="ru-RU"/>
        </w:rPr>
        <w:t>Федеральн</w:t>
      </w:r>
      <w:r>
        <w:rPr>
          <w:rFonts w:ascii="Liberation Serif" w:hAnsi="Liberation Serif"/>
          <w:color w:val="000000"/>
          <w:sz w:val="28"/>
          <w:szCs w:val="28"/>
          <w:lang w:val="ru-RU" w:eastAsia="ru-RU"/>
        </w:rPr>
        <w:t>ого</w:t>
      </w:r>
      <w:r w:rsidRPr="004C1809">
        <w:rPr>
          <w:rFonts w:ascii="Liberation Serif" w:hAnsi="Liberation Serif"/>
          <w:color w:val="000000"/>
          <w:sz w:val="28"/>
          <w:szCs w:val="28"/>
          <w:lang w:val="ru-RU" w:eastAsia="ru-RU"/>
        </w:rPr>
        <w:t> </w:t>
      </w:r>
      <w:r w:rsidRPr="004C1809">
        <w:rPr>
          <w:rFonts w:ascii="Liberation Serif" w:hAnsi="Liberation Serif"/>
          <w:sz w:val="28"/>
          <w:szCs w:val="28"/>
          <w:lang w:val="ru-RU" w:eastAsia="ru-RU"/>
        </w:rPr>
        <w:t>закон</w:t>
      </w:r>
      <w:r>
        <w:rPr>
          <w:rFonts w:ascii="Liberation Serif" w:hAnsi="Liberation Serif"/>
          <w:sz w:val="28"/>
          <w:szCs w:val="28"/>
          <w:lang w:val="ru-RU" w:eastAsia="ru-RU"/>
        </w:rPr>
        <w:t>а</w:t>
      </w:r>
      <w:r w:rsidRPr="004C1809">
        <w:rPr>
          <w:rFonts w:ascii="Liberation Serif" w:hAnsi="Liberation Serif"/>
          <w:color w:val="000000"/>
          <w:sz w:val="28"/>
          <w:szCs w:val="28"/>
          <w:lang w:val="ru-RU" w:eastAsia="ru-RU"/>
        </w:rPr>
        <w:t xml:space="preserve"> от 12.01.1996 № 7-ФЗ </w:t>
      </w:r>
      <w:r>
        <w:rPr>
          <w:rFonts w:ascii="Liberation Serif" w:hAnsi="Liberation Serif"/>
          <w:color w:val="000000"/>
          <w:sz w:val="28"/>
          <w:szCs w:val="28"/>
          <w:lang w:val="ru-RU" w:eastAsia="ru-RU"/>
        </w:rPr>
        <w:t xml:space="preserve">"О некоммерческих организациях",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с учетом положений:</w:t>
      </w:r>
    </w:p>
    <w:p w:rsidR="002D2F93" w:rsidRPr="00DF5BA1" w:rsidRDefault="00515AE5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приказа Министерства финансов Российской Федерации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от</w:t>
      </w:r>
      <w:r w:rsidR="002D2F93"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01.12.2010</w:t>
      </w:r>
      <w:r w:rsidR="002D2F93"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="002D2F93"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157н</w:t>
      </w:r>
      <w:r w:rsidR="002D2F93"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«Об</w:t>
      </w:r>
      <w:r w:rsidR="002D2F93"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утверждении</w:t>
      </w:r>
      <w:r w:rsidR="002D2F93"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Единого</w:t>
      </w:r>
      <w:r w:rsidR="002D2F93"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плана</w:t>
      </w:r>
      <w:r w:rsidR="002D2F93"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>и Инструкции по его применению»;</w:t>
      </w:r>
    </w:p>
    <w:p w:rsidR="002D2F93" w:rsidRDefault="00515AE5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приказа Министерства финансов Российской Федерации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от </w:t>
      </w:r>
      <w:r w:rsidR="00925311">
        <w:rPr>
          <w:rFonts w:ascii="Liberation Serif" w:hAnsi="Liberation Serif" w:cs="Liberation Serif"/>
          <w:sz w:val="28"/>
          <w:szCs w:val="28"/>
          <w:lang w:val="ru-RU"/>
        </w:rPr>
        <w:t>1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6.12.2010 № 1</w:t>
      </w:r>
      <w:r w:rsidR="00925311">
        <w:rPr>
          <w:rFonts w:ascii="Liberation Serif" w:hAnsi="Liberation Serif" w:cs="Liberation Serif"/>
          <w:sz w:val="28"/>
          <w:szCs w:val="28"/>
          <w:lang w:val="ru-RU"/>
        </w:rPr>
        <w:t>74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н «Об утверждении Плана счетов </w:t>
      </w:r>
      <w:r w:rsidR="00925311">
        <w:rPr>
          <w:rFonts w:ascii="Liberation Serif" w:hAnsi="Liberation Serif" w:cs="Liberation Serif"/>
          <w:sz w:val="28"/>
          <w:szCs w:val="28"/>
          <w:lang w:val="ru-RU"/>
        </w:rPr>
        <w:t>бухгалтерского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учета</w:t>
      </w:r>
      <w:r w:rsidR="00925311">
        <w:rPr>
          <w:rFonts w:ascii="Liberation Serif" w:hAnsi="Liberation Serif" w:cs="Liberation Serif"/>
          <w:sz w:val="28"/>
          <w:szCs w:val="28"/>
          <w:lang w:val="ru-RU"/>
        </w:rPr>
        <w:t xml:space="preserve"> бюджетных учреждений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и Инструкции по его применению» (далее –</w:t>
      </w:r>
      <w:r w:rsidR="000A0321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Инструкция № 1</w:t>
      </w:r>
      <w:r w:rsidR="00925311">
        <w:rPr>
          <w:rFonts w:ascii="Liberation Serif" w:hAnsi="Liberation Serif" w:cs="Liberation Serif"/>
          <w:sz w:val="28"/>
          <w:szCs w:val="28"/>
          <w:lang w:val="ru-RU"/>
        </w:rPr>
        <w:t>74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н);</w:t>
      </w:r>
    </w:p>
    <w:p w:rsidR="00925311" w:rsidRPr="00DF5BA1" w:rsidRDefault="00925311" w:rsidP="00925311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sz w:val="28"/>
          <w:szCs w:val="28"/>
          <w:lang w:val="ru-RU"/>
        </w:rPr>
        <w:t>приказа Министерства финансов Российской Федерации от 06.12.2010 № 162н «Об утверждении Плана счетов бюджетного учета и Инструкции по его применению» (далее – Инструкция № 162н);</w:t>
      </w:r>
    </w:p>
    <w:p w:rsidR="002D2F93" w:rsidRDefault="00515AE5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приказа Министерства финансов Российской Федерации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от 28.12.2010 № 191н «Об утверждении Инструкци</w:t>
      </w:r>
      <w:r w:rsidR="00CB7848" w:rsidRPr="00DF5BA1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="002D2F93"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о</w:t>
      </w:r>
      <w:r w:rsidR="002D2F93"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порядке</w:t>
      </w:r>
      <w:r w:rsidR="002D2F93"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составления</w:t>
      </w:r>
      <w:r w:rsidR="002D2F93"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="002D2F93"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представления годовой, квартальной и месячной отчетности об исполнении бюджетов бюджетн</w:t>
      </w:r>
      <w:r w:rsidR="00DB75BD" w:rsidRPr="00DF5BA1">
        <w:rPr>
          <w:rFonts w:ascii="Liberation Serif" w:hAnsi="Liberation Serif" w:cs="Liberation Serif"/>
          <w:sz w:val="28"/>
          <w:szCs w:val="28"/>
          <w:lang w:val="ru-RU"/>
        </w:rPr>
        <w:t>ой системы Российской Федерации»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CF6CE8" w:rsidRPr="00DF5BA1" w:rsidRDefault="00CF6CE8" w:rsidP="00CF6CE8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sz w:val="28"/>
          <w:szCs w:val="28"/>
          <w:lang w:val="ru-RU"/>
        </w:rPr>
        <w:t>приказа Министерства финансов Российской Федерации от 2</w:t>
      </w:r>
      <w:r>
        <w:rPr>
          <w:rFonts w:ascii="Liberation Serif" w:hAnsi="Liberation Serif" w:cs="Liberation Serif"/>
          <w:sz w:val="28"/>
          <w:szCs w:val="28"/>
          <w:lang w:val="ru-RU"/>
        </w:rPr>
        <w:t>5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>.</w:t>
      </w:r>
      <w:r>
        <w:rPr>
          <w:rFonts w:ascii="Liberation Serif" w:hAnsi="Liberation Serif" w:cs="Liberation Serif"/>
          <w:sz w:val="28"/>
          <w:szCs w:val="28"/>
          <w:lang w:val="ru-RU"/>
        </w:rPr>
        <w:t>03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>.201</w:t>
      </w:r>
      <w:r>
        <w:rPr>
          <w:rFonts w:ascii="Liberation Serif" w:hAnsi="Liberation Serif" w:cs="Liberation Serif"/>
          <w:sz w:val="28"/>
          <w:szCs w:val="28"/>
          <w:lang w:val="ru-RU"/>
        </w:rPr>
        <w:t>1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№ </w:t>
      </w:r>
      <w:r>
        <w:rPr>
          <w:rFonts w:ascii="Liberation Serif" w:hAnsi="Liberation Serif" w:cs="Liberation Serif"/>
          <w:sz w:val="28"/>
          <w:szCs w:val="28"/>
          <w:lang w:val="ru-RU"/>
        </w:rPr>
        <w:t>33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>н «Об утверждении Инструкции</w:t>
      </w:r>
      <w:r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>о</w:t>
      </w:r>
      <w:r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>порядке</w:t>
      </w:r>
      <w:r w:rsidRPr="00DF5BA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>составления</w:t>
      </w:r>
      <w:r>
        <w:rPr>
          <w:rFonts w:ascii="Liberation Serif" w:hAnsi="Liberation Serif" w:cs="Liberation Serif"/>
          <w:sz w:val="16"/>
          <w:szCs w:val="16"/>
          <w:lang w:val="ru-RU"/>
        </w:rPr>
        <w:t xml:space="preserve">, 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представления годовой, квартальной </w:t>
      </w:r>
      <w:r>
        <w:rPr>
          <w:rFonts w:ascii="Liberation Serif" w:hAnsi="Liberation Serif" w:cs="Liberation Serif"/>
          <w:sz w:val="28"/>
          <w:szCs w:val="28"/>
          <w:lang w:val="ru-RU"/>
        </w:rPr>
        <w:t>бухгалтерской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отчетности </w:t>
      </w:r>
      <w:r>
        <w:rPr>
          <w:rFonts w:ascii="Liberation Serif" w:hAnsi="Liberation Serif" w:cs="Liberation Serif"/>
          <w:sz w:val="28"/>
          <w:szCs w:val="28"/>
          <w:lang w:val="ru-RU"/>
        </w:rPr>
        <w:t>государственных (муниципальных) бюджетных и автономных учреждений»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2D2F93" w:rsidRPr="00DF5BA1" w:rsidRDefault="00515AE5" w:rsidP="009C7619">
      <w:pPr>
        <w:pStyle w:val="1"/>
        <w:shd w:val="clear" w:color="auto" w:fill="auto"/>
        <w:spacing w:before="0"/>
        <w:ind w:left="20" w:right="23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приказа Министерства финансов Российской Федерации 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1C3BC3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(далее – Приказ № 52н)</w:t>
      </w:r>
      <w:r w:rsidR="002D2F93" w:rsidRPr="00DF5BA1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9603A1" w:rsidRPr="00DF5BA1" w:rsidRDefault="009603A1" w:rsidP="009C7619">
      <w:pPr>
        <w:pStyle w:val="1"/>
        <w:shd w:val="clear" w:color="auto" w:fill="auto"/>
        <w:spacing w:before="0"/>
        <w:ind w:right="23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sz w:val="28"/>
          <w:szCs w:val="28"/>
          <w:lang w:val="ru-RU"/>
        </w:rPr>
        <w:lastRenderedPageBreak/>
        <w:t>приказа Министерства финансов Российской Федерации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 w:rsidR="001C3BC3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(далее – Приказ № 61н)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9C7619" w:rsidRPr="00DF5BA1" w:rsidRDefault="009C7619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sz w:val="28"/>
          <w:szCs w:val="28"/>
          <w:lang w:val="ru-RU"/>
        </w:rPr>
        <w:t>федеральных стандартов бухгалтерского учета для организаций государственного сектора;</w:t>
      </w:r>
    </w:p>
    <w:p w:rsidR="00FA1DCE" w:rsidRPr="00DF5BA1" w:rsidRDefault="003B073C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sz w:val="28"/>
          <w:szCs w:val="28"/>
          <w:lang w:val="ru-RU"/>
        </w:rPr>
        <w:t>иных правовых</w:t>
      </w:r>
      <w:r w:rsidR="009C7619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актов Министерства финансов Российской Федерации, 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положений (документов) </w:t>
      </w:r>
      <w:r w:rsidR="00585007" w:rsidRPr="00DF5BA1">
        <w:rPr>
          <w:rFonts w:ascii="Liberation Serif" w:hAnsi="Liberation Serif" w:cs="Liberation Serif"/>
          <w:sz w:val="28"/>
          <w:szCs w:val="28"/>
          <w:lang w:val="ru-RU"/>
        </w:rPr>
        <w:t>учетной политик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="00585007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0A31E1" w:rsidRPr="00DF5BA1">
        <w:rPr>
          <w:rFonts w:ascii="Liberation Serif" w:hAnsi="Liberation Serif" w:cs="Liberation Serif"/>
          <w:sz w:val="28"/>
          <w:szCs w:val="28"/>
          <w:lang w:val="ru-RU"/>
        </w:rPr>
        <w:t>М</w:t>
      </w:r>
      <w:r w:rsidR="00B04DA9">
        <w:rPr>
          <w:rFonts w:ascii="Liberation Serif" w:hAnsi="Liberation Serif" w:cs="Liberation Serif"/>
          <w:sz w:val="28"/>
          <w:szCs w:val="28"/>
          <w:lang w:val="ru-RU"/>
        </w:rPr>
        <w:t>униципального казенного учреждения</w:t>
      </w:r>
      <w:r w:rsidR="000A31E1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«Ц</w:t>
      </w:r>
      <w:r w:rsidR="00B04DA9">
        <w:rPr>
          <w:rFonts w:ascii="Liberation Serif" w:hAnsi="Liberation Serif" w:cs="Liberation Serif"/>
          <w:sz w:val="28"/>
          <w:szCs w:val="28"/>
          <w:lang w:val="ru-RU"/>
        </w:rPr>
        <w:t>ентрализованная бухгалтерия</w:t>
      </w:r>
      <w:r w:rsidR="000A31E1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Ш</w:t>
      </w:r>
      <w:r w:rsidR="00B04DA9">
        <w:rPr>
          <w:rFonts w:ascii="Liberation Serif" w:hAnsi="Liberation Serif" w:cs="Liberation Serif"/>
          <w:sz w:val="28"/>
          <w:szCs w:val="28"/>
          <w:lang w:val="ru-RU"/>
        </w:rPr>
        <w:t>алинского городского округа</w:t>
      </w:r>
      <w:r w:rsidR="000A31E1" w:rsidRPr="00DF5BA1">
        <w:rPr>
          <w:rFonts w:ascii="Liberation Serif" w:hAnsi="Liberation Serif" w:cs="Liberation Serif"/>
          <w:sz w:val="28"/>
          <w:szCs w:val="28"/>
          <w:lang w:val="ru-RU"/>
        </w:rPr>
        <w:t>»</w:t>
      </w:r>
      <w:r w:rsidR="00B04DA9">
        <w:rPr>
          <w:rFonts w:ascii="Liberation Serif" w:hAnsi="Liberation Serif" w:cs="Liberation Serif"/>
          <w:sz w:val="28"/>
          <w:szCs w:val="28"/>
          <w:lang w:val="ru-RU"/>
        </w:rPr>
        <w:t xml:space="preserve"> (далее МКУ «ЦБ ШГО»)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585007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DF5BA1" w:rsidRDefault="00DF5BA1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/>
          <w:sz w:val="28"/>
          <w:szCs w:val="28"/>
          <w:lang w:val="ru-RU"/>
        </w:rPr>
      </w:pPr>
      <w:r w:rsidRPr="00DF5BA1">
        <w:rPr>
          <w:rFonts w:ascii="Liberation Serif" w:hAnsi="Liberation Serif"/>
          <w:sz w:val="28"/>
          <w:szCs w:val="28"/>
          <w:lang w:val="ru-RU"/>
        </w:rPr>
        <w:t>Ответственным за организацию бюджетного (бухгалтерского) учета в учреждениях и соблюдение законодательства при выполнении хозяйственных операций являются руководители обслуживаемых учреждений.</w:t>
      </w:r>
    </w:p>
    <w:p w:rsidR="00DF5BA1" w:rsidRPr="00DF5BA1" w:rsidRDefault="00DF5BA1" w:rsidP="00DF5BA1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color w:val="FF0000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>Б</w:t>
      </w:r>
      <w:r w:rsidRPr="00DF5BA1">
        <w:rPr>
          <w:rFonts w:ascii="Liberation Serif" w:hAnsi="Liberation Serif"/>
          <w:sz w:val="28"/>
          <w:szCs w:val="28"/>
          <w:lang w:val="ru-RU"/>
        </w:rPr>
        <w:t>юджетный (бухгалтерский) учет ведет централизованная бухгалтерия на основании соглашения о бухгалтерском обслуживании.</w:t>
      </w:r>
    </w:p>
    <w:p w:rsidR="00E33DF9" w:rsidRPr="00DF5BA1" w:rsidRDefault="00E33DF9" w:rsidP="00E33DF9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Бюджетный учет </w:t>
      </w:r>
      <w:r w:rsidR="006E3779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ведется в электронном виде с использованием программ автоматизации бухгалтерского учета 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>с учетом следующих основных  положений:</w:t>
      </w:r>
    </w:p>
    <w:p w:rsidR="00091EA9" w:rsidRDefault="00A33916" w:rsidP="00091EA9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sz w:val="28"/>
          <w:szCs w:val="28"/>
          <w:lang w:val="ru-RU"/>
        </w:rPr>
        <w:t>при оформлении фактов хозяйственной жизни применяются унифицированные формы первичных учетных документов</w:t>
      </w:r>
      <w:r w:rsidR="001C3BC3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, в соответствии с Приказом № 52н и Приказом № 61н. </w:t>
      </w:r>
      <w:r w:rsidR="00091EA9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В случае отсутствия технической возможности формировать и подписывать электронные документы печатные формы этих документов формируются и подписываются на бумажном носителе; </w:t>
      </w:r>
    </w:p>
    <w:p w:rsidR="00C44BF4" w:rsidRPr="00C44BF4" w:rsidRDefault="00C44BF4" w:rsidP="00C44BF4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Liberation Serif" w:hAnsi="Liberation Serif" w:cs="Liberation Serif"/>
          <w:color w:val="444444"/>
          <w:sz w:val="28"/>
          <w:szCs w:val="28"/>
        </w:rPr>
      </w:pPr>
      <w:r w:rsidRPr="00FE59B0">
        <w:rPr>
          <w:rFonts w:ascii="Liberation Serif" w:hAnsi="Liberation Serif" w:cs="Liberation Serif"/>
          <w:color w:val="444444"/>
          <w:sz w:val="28"/>
          <w:szCs w:val="28"/>
        </w:rPr>
        <w:t xml:space="preserve"> </w:t>
      </w:r>
      <w:r w:rsidR="00152F69" w:rsidRPr="00FE59B0">
        <w:rPr>
          <w:rFonts w:ascii="Liberation Serif" w:hAnsi="Liberation Serif" w:cs="Liberation Serif"/>
          <w:sz w:val="28"/>
          <w:szCs w:val="28"/>
        </w:rPr>
        <w:t xml:space="preserve">отчетность в Федеральную налоговую службу, </w:t>
      </w:r>
      <w:r w:rsidR="00152F69" w:rsidRPr="00FE59B0">
        <w:rPr>
          <w:rFonts w:ascii="Liberation Serif" w:hAnsi="Liberation Serif" w:cs="Liberation Serif"/>
          <w:sz w:val="28"/>
          <w:szCs w:val="28"/>
          <w:shd w:val="clear" w:color="auto" w:fill="FFFFFF"/>
        </w:rPr>
        <w:t>отделения Социального  фонда России</w:t>
      </w:r>
      <w:r w:rsidR="00152F69" w:rsidRPr="00FE59B0">
        <w:rPr>
          <w:rFonts w:ascii="Liberation Serif" w:hAnsi="Liberation Serif" w:cs="Liberation Serif"/>
          <w:sz w:val="28"/>
          <w:szCs w:val="28"/>
        </w:rPr>
        <w:t xml:space="preserve">, органы статистики сдается по средствам </w:t>
      </w:r>
      <w:r w:rsidR="00152F69" w:rsidRPr="00FE59B0">
        <w:rPr>
          <w:rFonts w:ascii="Liberation Serif" w:hAnsi="Liberation Serif" w:cs="Liberation Serif"/>
          <w:color w:val="444444"/>
          <w:sz w:val="28"/>
          <w:szCs w:val="28"/>
        </w:rPr>
        <w:t>электронного</w:t>
      </w:r>
      <w:r w:rsidRPr="00FE59B0">
        <w:rPr>
          <w:rFonts w:ascii="Liberation Serif" w:hAnsi="Liberation Serif" w:cs="Liberation Serif"/>
          <w:color w:val="444444"/>
          <w:sz w:val="28"/>
          <w:szCs w:val="28"/>
        </w:rPr>
        <w:t xml:space="preserve"> документооборот</w:t>
      </w:r>
      <w:r w:rsidR="00152F69" w:rsidRPr="00FE59B0">
        <w:rPr>
          <w:rFonts w:ascii="Liberation Serif" w:hAnsi="Liberation Serif" w:cs="Liberation Serif"/>
          <w:color w:val="444444"/>
          <w:sz w:val="28"/>
          <w:szCs w:val="28"/>
        </w:rPr>
        <w:t>а</w:t>
      </w:r>
      <w:r w:rsidRPr="00FE59B0">
        <w:rPr>
          <w:rFonts w:ascii="Liberation Serif" w:hAnsi="Liberation Serif" w:cs="Liberation Serif"/>
          <w:color w:val="444444"/>
          <w:sz w:val="28"/>
          <w:szCs w:val="28"/>
        </w:rPr>
        <w:t xml:space="preserve"> с использованием телекоммуникационных каналов связи, и электронной подписи по передаче отчетности;</w:t>
      </w:r>
    </w:p>
    <w:p w:rsidR="00A33916" w:rsidRPr="00DF5BA1" w:rsidRDefault="00091EA9" w:rsidP="00A3391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="00A33916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ри </w:t>
      </w:r>
      <w:r w:rsidR="00242C58" w:rsidRPr="00DF5BA1">
        <w:rPr>
          <w:rFonts w:ascii="Liberation Serif" w:hAnsi="Liberation Serif" w:cs="Liberation Serif"/>
          <w:sz w:val="28"/>
          <w:szCs w:val="28"/>
          <w:lang w:val="ru-RU"/>
        </w:rPr>
        <w:t>проведении</w:t>
      </w:r>
      <w:r w:rsidR="00A33916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хозяйственных операций, для оформления которых не предусмотрены типовые формы первичных </w:t>
      </w:r>
      <w:r w:rsidR="006E3779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учетных </w:t>
      </w:r>
      <w:r w:rsidR="00A33916" w:rsidRPr="00DF5BA1">
        <w:rPr>
          <w:rFonts w:ascii="Liberation Serif" w:hAnsi="Liberation Serif" w:cs="Liberation Serif"/>
          <w:sz w:val="28"/>
          <w:szCs w:val="28"/>
          <w:lang w:val="ru-RU"/>
        </w:rPr>
        <w:t>документов, используются самостоятельно разработанные формы, образцы которых прилож</w:t>
      </w:r>
      <w:r w:rsidR="00772775" w:rsidRPr="00DF5BA1">
        <w:rPr>
          <w:rFonts w:ascii="Liberation Serif" w:hAnsi="Liberation Serif" w:cs="Liberation Serif"/>
          <w:sz w:val="28"/>
          <w:szCs w:val="28"/>
          <w:lang w:val="ru-RU"/>
        </w:rPr>
        <w:t>ены</w:t>
      </w:r>
      <w:r w:rsidR="00A33916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к учетной политик</w:t>
      </w:r>
      <w:r w:rsidR="00772775" w:rsidRPr="00DF5BA1">
        <w:rPr>
          <w:rFonts w:ascii="Liberation Serif" w:hAnsi="Liberation Serif" w:cs="Liberation Serif"/>
          <w:sz w:val="28"/>
          <w:szCs w:val="28"/>
          <w:lang w:val="ru-RU"/>
        </w:rPr>
        <w:t>е</w:t>
      </w:r>
      <w:r w:rsidR="00A33916" w:rsidRPr="00DF5BA1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9E5E94" w:rsidRPr="00DF5BA1" w:rsidRDefault="009E5E94" w:rsidP="009E5E94">
      <w:pPr>
        <w:pStyle w:val="1"/>
        <w:shd w:val="clear" w:color="auto" w:fill="auto"/>
        <w:tabs>
          <w:tab w:val="left" w:pos="1218"/>
        </w:tabs>
        <w:spacing w:before="0"/>
        <w:ind w:left="20" w:firstLine="689"/>
        <w:rPr>
          <w:rFonts w:ascii="Liberation Serif" w:hAnsi="Liberation Serif" w:cs="Liberation Serif"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табель учета использования рабочего времени ведется для учета использованного им рабочего времени </w:t>
      </w:r>
      <w:r w:rsidR="00F86A0E">
        <w:rPr>
          <w:rFonts w:ascii="Liberation Serif" w:hAnsi="Liberation Serif" w:cs="Liberation Serif"/>
          <w:sz w:val="28"/>
          <w:szCs w:val="28"/>
          <w:lang w:val="ru-RU"/>
        </w:rPr>
        <w:t>или регистрации различных случаев отклонений от нормального использования рабочего времени;</w:t>
      </w:r>
    </w:p>
    <w:p w:rsidR="00091EA9" w:rsidRPr="00DF5BA1" w:rsidRDefault="00091EA9" w:rsidP="009E5E94">
      <w:pPr>
        <w:pStyle w:val="1"/>
        <w:shd w:val="clear" w:color="auto" w:fill="auto"/>
        <w:tabs>
          <w:tab w:val="left" w:pos="1218"/>
        </w:tabs>
        <w:spacing w:before="0"/>
        <w:ind w:left="20" w:firstLine="689"/>
        <w:rPr>
          <w:rFonts w:ascii="Liberation Serif" w:hAnsi="Liberation Serif" w:cs="Liberation Serif"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sz w:val="28"/>
          <w:szCs w:val="28"/>
          <w:lang w:val="ru-RU"/>
        </w:rPr>
        <w:t>выдача денежных средств под о</w:t>
      </w:r>
      <w:r w:rsidR="00442528" w:rsidRPr="00DF5BA1">
        <w:rPr>
          <w:rFonts w:ascii="Liberation Serif" w:hAnsi="Liberation Serif" w:cs="Liberation Serif"/>
          <w:sz w:val="28"/>
          <w:szCs w:val="28"/>
          <w:lang w:val="ru-RU"/>
        </w:rPr>
        <w:t>тчет осуществляется по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заявлению подотчетного лица с использованием расчетных (дебетовых) карт. В исключительных случаях </w:t>
      </w:r>
      <w:r w:rsidR="00442528" w:rsidRPr="00DF5BA1">
        <w:rPr>
          <w:rFonts w:ascii="Liberation Serif" w:hAnsi="Liberation Serif" w:cs="Liberation Serif"/>
          <w:sz w:val="28"/>
          <w:szCs w:val="28"/>
          <w:lang w:val="ru-RU"/>
        </w:rPr>
        <w:t>допускается выдача денежных средств под отчет из кассы учреждения;</w:t>
      </w:r>
    </w:p>
    <w:p w:rsidR="00663FF7" w:rsidRPr="00DF5BA1" w:rsidRDefault="004A0609" w:rsidP="00A3391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sz w:val="28"/>
          <w:szCs w:val="28"/>
          <w:lang w:val="ru-RU"/>
        </w:rPr>
        <w:t>резерв предстоящих расходов формируется</w:t>
      </w:r>
      <w:r w:rsidR="00663FF7" w:rsidRPr="00DF5BA1"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:rsidR="00A33916" w:rsidRPr="00DF5BA1" w:rsidRDefault="00663FF7" w:rsidP="00A3391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sz w:val="28"/>
          <w:szCs w:val="28"/>
          <w:lang w:val="ru-RU"/>
        </w:rPr>
        <w:t>на</w:t>
      </w:r>
      <w:r w:rsidR="004A0609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сумм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>у</w:t>
      </w:r>
      <w:r w:rsidR="004A0609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отложенных обязательств на оплату отпуск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>ов</w:t>
      </w:r>
      <w:r w:rsidR="004A0609" w:rsidRPr="00DF5BA1">
        <w:rPr>
          <w:rFonts w:ascii="Liberation Serif" w:hAnsi="Liberation Serif" w:cs="Liberation Serif"/>
          <w:sz w:val="28"/>
          <w:szCs w:val="28"/>
          <w:lang w:val="ru-RU"/>
        </w:rPr>
        <w:t xml:space="preserve"> за фактически отработанное время и в сумме страховых взносов на них</w:t>
      </w:r>
      <w:r w:rsidRPr="00DF5BA1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663FF7" w:rsidRDefault="00663FF7" w:rsidP="00A3391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sz w:val="28"/>
          <w:szCs w:val="28"/>
          <w:lang w:val="ru-RU"/>
        </w:rPr>
        <w:lastRenderedPageBreak/>
        <w:t>на сумму обязательств учреждения по начислению которых существует на отчетную дату неопределенность в виду отсутствия первичных учетных документов;</w:t>
      </w:r>
    </w:p>
    <w:p w:rsidR="00525806" w:rsidRDefault="00525806" w:rsidP="00A3391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/>
          <w:sz w:val="28"/>
          <w:szCs w:val="28"/>
          <w:lang w:val="ru-RU"/>
        </w:rPr>
      </w:pPr>
      <w:r w:rsidRPr="00525806">
        <w:rPr>
          <w:rFonts w:ascii="Liberation Serif" w:hAnsi="Liberation Serif"/>
          <w:sz w:val="28"/>
          <w:szCs w:val="28"/>
          <w:lang w:val="ru-RU"/>
        </w:rPr>
        <w:t>на сумму возникающего из претензионных требований и исков по результатам фактов хозяйственной жизни, в том числе в рамках досудебного (внесудебного) рассмотрения претензий</w:t>
      </w:r>
      <w:r w:rsidR="00152F69">
        <w:rPr>
          <w:rFonts w:ascii="Liberation Serif" w:hAnsi="Liberation Serif"/>
          <w:sz w:val="28"/>
          <w:szCs w:val="28"/>
          <w:lang w:val="ru-RU"/>
        </w:rPr>
        <w:t>;</w:t>
      </w:r>
    </w:p>
    <w:p w:rsidR="00C44BF4" w:rsidRPr="00FE59B0" w:rsidRDefault="00C44BF4" w:rsidP="00152F6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Liberation Serif" w:hAnsi="Liberation Serif" w:cs="Liberation Serif"/>
          <w:color w:val="444444"/>
          <w:sz w:val="28"/>
          <w:szCs w:val="28"/>
        </w:rPr>
      </w:pPr>
      <w:r w:rsidRPr="00FE59B0">
        <w:rPr>
          <w:rFonts w:ascii="Liberation Serif" w:hAnsi="Liberation Serif" w:cs="Liberation Serif"/>
          <w:color w:val="444444"/>
          <w:sz w:val="28"/>
          <w:szCs w:val="28"/>
        </w:rPr>
        <w:t xml:space="preserve">  инвентаризация активов и обязательств осуществляется в соответствии с ежегодными приказами о проведении инвентаризации объектов бюджетного учета;</w:t>
      </w:r>
    </w:p>
    <w:p w:rsidR="00C44BF4" w:rsidRPr="00FE59B0" w:rsidRDefault="00C44BF4" w:rsidP="00152F6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Liberation Serif" w:hAnsi="Liberation Serif" w:cs="Liberation Serif"/>
          <w:color w:val="444444"/>
          <w:sz w:val="28"/>
          <w:szCs w:val="28"/>
        </w:rPr>
      </w:pPr>
      <w:r w:rsidRPr="00FE59B0">
        <w:rPr>
          <w:rFonts w:ascii="Liberation Serif" w:hAnsi="Liberation Serif" w:cs="Liberation Serif"/>
          <w:color w:val="444444"/>
          <w:sz w:val="28"/>
          <w:szCs w:val="28"/>
        </w:rPr>
        <w:t>начисление амортизации объекта основных средств производится линейным методом;</w:t>
      </w:r>
    </w:p>
    <w:p w:rsidR="00C44BF4" w:rsidRPr="00FE59B0" w:rsidRDefault="00C44BF4" w:rsidP="00152F6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FE59B0">
        <w:rPr>
          <w:rFonts w:ascii="Liberation Serif" w:hAnsi="Liberation Serif" w:cs="Liberation Serif"/>
          <w:sz w:val="28"/>
          <w:szCs w:val="28"/>
        </w:rPr>
        <w:t>ведение бюджетного учета администратор</w:t>
      </w:r>
      <w:r w:rsidR="00152F69" w:rsidRPr="00FE59B0">
        <w:rPr>
          <w:rFonts w:ascii="Liberation Serif" w:hAnsi="Liberation Serif" w:cs="Liberation Serif"/>
          <w:sz w:val="28"/>
          <w:szCs w:val="28"/>
        </w:rPr>
        <w:t>ов</w:t>
      </w:r>
      <w:r w:rsidRPr="00FE59B0">
        <w:rPr>
          <w:rFonts w:ascii="Liberation Serif" w:hAnsi="Liberation Serif" w:cs="Liberation Serif"/>
          <w:sz w:val="28"/>
          <w:szCs w:val="28"/>
        </w:rPr>
        <w:t xml:space="preserve"> доход</w:t>
      </w:r>
      <w:r w:rsidR="00152F69" w:rsidRPr="00FE59B0">
        <w:rPr>
          <w:rFonts w:ascii="Liberation Serif" w:hAnsi="Liberation Serif" w:cs="Liberation Serif"/>
          <w:sz w:val="28"/>
          <w:szCs w:val="28"/>
        </w:rPr>
        <w:t>ов</w:t>
      </w:r>
      <w:r w:rsidRPr="00FE59B0">
        <w:rPr>
          <w:rFonts w:ascii="Liberation Serif" w:hAnsi="Liberation Serif" w:cs="Liberation Serif"/>
          <w:sz w:val="28"/>
          <w:szCs w:val="28"/>
        </w:rPr>
        <w:t xml:space="preserve"> бюджета</w:t>
      </w:r>
      <w:r w:rsidR="00152F69" w:rsidRPr="00FE59B0">
        <w:rPr>
          <w:rFonts w:ascii="Liberation Serif" w:hAnsi="Liberation Serif" w:cs="Liberation Serif"/>
          <w:sz w:val="28"/>
          <w:szCs w:val="28"/>
        </w:rPr>
        <w:t xml:space="preserve"> Шалинского городского округа </w:t>
      </w:r>
      <w:r w:rsidRPr="00FE59B0">
        <w:rPr>
          <w:rFonts w:ascii="Liberation Serif" w:hAnsi="Liberation Serif" w:cs="Liberation Serif"/>
          <w:sz w:val="28"/>
          <w:szCs w:val="28"/>
        </w:rPr>
        <w:t xml:space="preserve">осуществляется согласно выполняемым функциям (полномочиям) в соответствии с приказами </w:t>
      </w:r>
      <w:r w:rsidR="00152F69" w:rsidRPr="00FE59B0">
        <w:rPr>
          <w:rFonts w:ascii="Liberation Serif" w:hAnsi="Liberation Serif" w:cs="Liberation Serif"/>
          <w:sz w:val="28"/>
          <w:szCs w:val="28"/>
        </w:rPr>
        <w:t xml:space="preserve">Финансового управления </w:t>
      </w:r>
      <w:r w:rsidRPr="00FE59B0">
        <w:rPr>
          <w:rFonts w:ascii="Liberation Serif" w:hAnsi="Liberation Serif" w:cs="Liberation Serif"/>
          <w:sz w:val="28"/>
          <w:szCs w:val="28"/>
        </w:rPr>
        <w:t>;</w:t>
      </w:r>
    </w:p>
    <w:p w:rsidR="00152F69" w:rsidRPr="00FE59B0" w:rsidRDefault="00C44BF4" w:rsidP="00152F6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Liberation Serif" w:hAnsi="Liberation Serif" w:cs="Liberation Serif"/>
          <w:color w:val="444444"/>
          <w:sz w:val="28"/>
          <w:szCs w:val="28"/>
        </w:rPr>
      </w:pPr>
      <w:r w:rsidRPr="00FE59B0">
        <w:rPr>
          <w:rFonts w:ascii="Liberation Serif" w:hAnsi="Liberation Serif" w:cs="Liberation Serif"/>
          <w:color w:val="444444"/>
          <w:sz w:val="28"/>
          <w:szCs w:val="28"/>
        </w:rPr>
        <w:t>событие после отчетной даты признается существенным, в случае, когда информация, раскрываемая в бюджетной отчетности о нем является существенной информацией;</w:t>
      </w:r>
    </w:p>
    <w:p w:rsidR="00941AC7" w:rsidRPr="00DF5BA1" w:rsidRDefault="00C3098A" w:rsidP="00152F6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FE59B0">
        <w:rPr>
          <w:rFonts w:ascii="Liberation Serif" w:hAnsi="Liberation Serif" w:cs="Liberation Serif"/>
          <w:sz w:val="28"/>
          <w:szCs w:val="28"/>
        </w:rPr>
        <w:t>по телекоммуникационным</w:t>
      </w:r>
      <w:r w:rsidRPr="00DF5BA1">
        <w:rPr>
          <w:rFonts w:ascii="Liberation Serif" w:hAnsi="Liberation Serif" w:cs="Liberation Serif"/>
          <w:sz w:val="28"/>
          <w:szCs w:val="28"/>
        </w:rPr>
        <w:t xml:space="preserve"> каналам связи с применением электронной подписи.</w:t>
      </w:r>
    </w:p>
    <w:p w:rsidR="00C3098A" w:rsidRPr="00DF5BA1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 w:rsidRPr="00DF5BA1">
        <w:rPr>
          <w:rFonts w:ascii="Liberation Serif" w:hAnsi="Liberation Serif" w:cs="Liberation Serif"/>
          <w:sz w:val="28"/>
          <w:szCs w:val="28"/>
          <w:lang w:val="ru-RU"/>
        </w:rPr>
        <w:t>Сведения об основных положениях учетной политики по объектам учета приведены в таблице:</w:t>
      </w:r>
    </w:p>
    <w:tbl>
      <w:tblPr>
        <w:tblStyle w:val="aa"/>
        <w:tblW w:w="0" w:type="auto"/>
        <w:tblInd w:w="20" w:type="dxa"/>
        <w:tblLayout w:type="fixed"/>
        <w:tblLook w:val="04A0"/>
      </w:tblPr>
      <w:tblGrid>
        <w:gridCol w:w="1789"/>
        <w:gridCol w:w="1560"/>
        <w:gridCol w:w="2126"/>
        <w:gridCol w:w="4090"/>
      </w:tblGrid>
      <w:tr w:rsidR="00C3098A" w:rsidRPr="009F1320" w:rsidTr="006764EB">
        <w:tc>
          <w:tcPr>
            <w:tcW w:w="1789" w:type="dxa"/>
            <w:vMerge w:val="restart"/>
          </w:tcPr>
          <w:p w:rsidR="00C3098A" w:rsidRPr="00DF5BA1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Наименование объекта учета</w:t>
            </w:r>
          </w:p>
        </w:tc>
        <w:tc>
          <w:tcPr>
            <w:tcW w:w="1560" w:type="dxa"/>
            <w:vMerge w:val="restart"/>
          </w:tcPr>
          <w:p w:rsidR="00C3098A" w:rsidRPr="00DF5BA1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Код счета бухгалтерского учета</w:t>
            </w:r>
          </w:p>
        </w:tc>
        <w:tc>
          <w:tcPr>
            <w:tcW w:w="6216" w:type="dxa"/>
            <w:gridSpan w:val="2"/>
          </w:tcPr>
          <w:p w:rsidR="00C3098A" w:rsidRPr="00DF5BA1" w:rsidRDefault="00C3098A" w:rsidP="00C3098A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Метод оценки и момент отражения операций в учете</w:t>
            </w:r>
          </w:p>
        </w:tc>
      </w:tr>
      <w:tr w:rsidR="00C3098A" w:rsidRPr="00DF5BA1" w:rsidTr="00A63C0D">
        <w:tc>
          <w:tcPr>
            <w:tcW w:w="1789" w:type="dxa"/>
            <w:vMerge/>
          </w:tcPr>
          <w:p w:rsidR="00C3098A" w:rsidRPr="00DF5BA1" w:rsidRDefault="00C3098A" w:rsidP="00C3098A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C3098A" w:rsidRPr="00DF5BA1" w:rsidRDefault="00C3098A" w:rsidP="00C3098A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C3098A" w:rsidRPr="00DF5BA1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Способ ведения бюджетного учета</w:t>
            </w:r>
          </w:p>
        </w:tc>
        <w:tc>
          <w:tcPr>
            <w:tcW w:w="4090" w:type="dxa"/>
          </w:tcPr>
          <w:p w:rsidR="00C3098A" w:rsidRPr="00DF5BA1" w:rsidRDefault="00C3098A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Характеристика применяемого способа</w:t>
            </w:r>
          </w:p>
        </w:tc>
      </w:tr>
      <w:tr w:rsidR="00C3098A" w:rsidRPr="009F1320" w:rsidTr="00A63C0D">
        <w:trPr>
          <w:trHeight w:val="1078"/>
        </w:trPr>
        <w:tc>
          <w:tcPr>
            <w:tcW w:w="1789" w:type="dxa"/>
          </w:tcPr>
          <w:p w:rsidR="00C3098A" w:rsidRPr="00DF5BA1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Активы, обязательства, финансовый результат</w:t>
            </w:r>
          </w:p>
        </w:tc>
        <w:tc>
          <w:tcPr>
            <w:tcW w:w="1560" w:type="dxa"/>
          </w:tcPr>
          <w:p w:rsidR="00C3098A" w:rsidRPr="00DF5BA1" w:rsidRDefault="00C3098A" w:rsidP="00230822">
            <w:pPr>
              <w:pStyle w:val="1"/>
              <w:shd w:val="clear" w:color="auto" w:fill="auto"/>
              <w:spacing w:before="0"/>
              <w:ind w:left="20" w:right="20" w:firstLine="709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х</w:t>
            </w:r>
          </w:p>
        </w:tc>
        <w:tc>
          <w:tcPr>
            <w:tcW w:w="2126" w:type="dxa"/>
          </w:tcPr>
          <w:p w:rsidR="00C3098A" w:rsidRPr="00DF5BA1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Организация ведения бухгалтерского учета</w:t>
            </w:r>
          </w:p>
        </w:tc>
        <w:tc>
          <w:tcPr>
            <w:tcW w:w="4090" w:type="dxa"/>
          </w:tcPr>
          <w:p w:rsidR="009F3D43" w:rsidRDefault="00C3098A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Услуги по ведению бюджетного (бухгалтерского) учета осуществляются на </w:t>
            </w:r>
            <w:r w:rsidR="009F3D43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основании соглашения, </w:t>
            </w:r>
          </w:p>
          <w:p w:rsidR="00C3098A" w:rsidRPr="00DF5BA1" w:rsidRDefault="009F3D43" w:rsidP="00EB30B9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в МКУ «ЦБ ШГО» учёт ведется самостоятельно</w:t>
            </w:r>
          </w:p>
        </w:tc>
      </w:tr>
      <w:tr w:rsidR="00C3098A" w:rsidRPr="009F1320" w:rsidTr="00A63C0D">
        <w:tc>
          <w:tcPr>
            <w:tcW w:w="1789" w:type="dxa"/>
          </w:tcPr>
          <w:p w:rsidR="00C3098A" w:rsidRPr="00DF5BA1" w:rsidRDefault="00C3098A" w:rsidP="00663FF7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Основные средства</w:t>
            </w:r>
          </w:p>
        </w:tc>
        <w:tc>
          <w:tcPr>
            <w:tcW w:w="1560" w:type="dxa"/>
          </w:tcPr>
          <w:p w:rsidR="00C3098A" w:rsidRPr="00DF5BA1" w:rsidRDefault="00230822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0 101 00 000</w:t>
            </w:r>
          </w:p>
        </w:tc>
        <w:tc>
          <w:tcPr>
            <w:tcW w:w="2126" w:type="dxa"/>
          </w:tcPr>
          <w:p w:rsidR="00C3098A" w:rsidRPr="00DF5BA1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Определение срока полезного использования</w:t>
            </w:r>
          </w:p>
        </w:tc>
        <w:tc>
          <w:tcPr>
            <w:tcW w:w="4090" w:type="dxa"/>
          </w:tcPr>
          <w:p w:rsidR="00C3098A" w:rsidRPr="00DF5BA1" w:rsidRDefault="00230822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Исходы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</w:tr>
      <w:tr w:rsidR="00C3098A" w:rsidRPr="009F1320" w:rsidTr="00A63C0D">
        <w:tc>
          <w:tcPr>
            <w:tcW w:w="1789" w:type="dxa"/>
          </w:tcPr>
          <w:p w:rsidR="00C3098A" w:rsidRPr="00DF5BA1" w:rsidRDefault="00C3098A" w:rsidP="00663FF7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Амортизация</w:t>
            </w:r>
          </w:p>
        </w:tc>
        <w:tc>
          <w:tcPr>
            <w:tcW w:w="1560" w:type="dxa"/>
          </w:tcPr>
          <w:p w:rsidR="00C3098A" w:rsidRPr="00DF5BA1" w:rsidRDefault="00230822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0 104 00 000</w:t>
            </w:r>
          </w:p>
        </w:tc>
        <w:tc>
          <w:tcPr>
            <w:tcW w:w="2126" w:type="dxa"/>
          </w:tcPr>
          <w:p w:rsidR="00C3098A" w:rsidRPr="00DF5BA1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Методы начисления амортизации</w:t>
            </w:r>
          </w:p>
        </w:tc>
        <w:tc>
          <w:tcPr>
            <w:tcW w:w="4090" w:type="dxa"/>
          </w:tcPr>
          <w:p w:rsidR="00230822" w:rsidRPr="00DF5BA1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На объекты основных средств стоимостью:</w:t>
            </w:r>
          </w:p>
          <w:p w:rsidR="00663FF7" w:rsidRPr="00DF5BA1" w:rsidRDefault="00230822" w:rsidP="00663FF7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- до 10000 руб. включительно амортизация не начисляется;</w:t>
            </w:r>
          </w:p>
          <w:p w:rsidR="00663FF7" w:rsidRPr="00DF5BA1" w:rsidRDefault="00230822" w:rsidP="00663FF7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- от 10000 до 100000 руб. включительно амортизация начисляется в размере 100%;</w:t>
            </w:r>
          </w:p>
          <w:p w:rsidR="00230822" w:rsidRPr="00DF5BA1" w:rsidRDefault="00230822" w:rsidP="00663FF7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- свыше 100000 руб. начисление суммы амортизации производится линейным способом</w:t>
            </w:r>
          </w:p>
        </w:tc>
      </w:tr>
      <w:tr w:rsidR="00C3098A" w:rsidRPr="00DF5BA1" w:rsidTr="006B4E6E">
        <w:trPr>
          <w:trHeight w:val="622"/>
        </w:trPr>
        <w:tc>
          <w:tcPr>
            <w:tcW w:w="1789" w:type="dxa"/>
          </w:tcPr>
          <w:p w:rsidR="00C3098A" w:rsidRPr="00DF5BA1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Материальные запасы</w:t>
            </w:r>
          </w:p>
        </w:tc>
        <w:tc>
          <w:tcPr>
            <w:tcW w:w="1560" w:type="dxa"/>
          </w:tcPr>
          <w:p w:rsidR="00C3098A" w:rsidRPr="00DF5BA1" w:rsidRDefault="00230822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0 105 00 000</w:t>
            </w:r>
          </w:p>
        </w:tc>
        <w:tc>
          <w:tcPr>
            <w:tcW w:w="2126" w:type="dxa"/>
          </w:tcPr>
          <w:p w:rsidR="006B4E6E" w:rsidRPr="00DF5BA1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Выбытие материальных запасов</w:t>
            </w:r>
          </w:p>
        </w:tc>
        <w:tc>
          <w:tcPr>
            <w:tcW w:w="4090" w:type="dxa"/>
          </w:tcPr>
          <w:p w:rsidR="00C3098A" w:rsidRPr="00DF5BA1" w:rsidRDefault="00230822" w:rsidP="00663FF7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left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По</w:t>
            </w:r>
            <w:r w:rsidR="00663FF7"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средней </w:t>
            </w: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фактической </w:t>
            </w:r>
            <w:r w:rsidR="00663FF7"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стоимости</w:t>
            </w:r>
          </w:p>
        </w:tc>
      </w:tr>
      <w:tr w:rsidR="006B4E6E" w:rsidRPr="009F1320" w:rsidTr="00A63C0D">
        <w:trPr>
          <w:trHeight w:val="524"/>
        </w:trPr>
        <w:tc>
          <w:tcPr>
            <w:tcW w:w="1789" w:type="dxa"/>
          </w:tcPr>
          <w:p w:rsidR="006B4E6E" w:rsidRPr="006B4E6E" w:rsidRDefault="006B4E6E" w:rsidP="006B4E6E">
            <w:pPr>
              <w:widowControl/>
              <w:autoSpaceDE/>
              <w:autoSpaceDN/>
              <w:jc w:val="center"/>
              <w:rPr>
                <w:rFonts w:ascii="Liberation Serif" w:hAnsi="Liberation Serif"/>
                <w:sz w:val="18"/>
                <w:szCs w:val="18"/>
                <w:lang w:val="ru-RU" w:eastAsia="ru-RU"/>
              </w:rPr>
            </w:pPr>
            <w:r w:rsidRPr="006B4E6E">
              <w:rPr>
                <w:rFonts w:ascii="Liberation Serif" w:hAnsi="Liberation Serif"/>
                <w:sz w:val="18"/>
                <w:szCs w:val="18"/>
                <w:lang w:val="ru-RU" w:eastAsia="ru-RU"/>
              </w:rPr>
              <w:t xml:space="preserve">Затраты на изготовление готовой продукции, выполнение работ, услуг </w:t>
            </w:r>
          </w:p>
          <w:p w:rsidR="006B4E6E" w:rsidRPr="00DF5BA1" w:rsidRDefault="006B4E6E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B4E6E" w:rsidRPr="00DF5BA1" w:rsidRDefault="006B4E6E" w:rsidP="00230822">
            <w:pPr>
              <w:pStyle w:val="1"/>
              <w:tabs>
                <w:tab w:val="left" w:pos="0"/>
              </w:tabs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0 109 00 000</w:t>
            </w:r>
          </w:p>
        </w:tc>
        <w:tc>
          <w:tcPr>
            <w:tcW w:w="2126" w:type="dxa"/>
          </w:tcPr>
          <w:p w:rsidR="006B4E6E" w:rsidRDefault="006B4E6E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  <w:p w:rsidR="006B4E6E" w:rsidRPr="00DF5BA1" w:rsidRDefault="006B4E6E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Распределение накладных затрат</w:t>
            </w:r>
          </w:p>
        </w:tc>
        <w:tc>
          <w:tcPr>
            <w:tcW w:w="4090" w:type="dxa"/>
          </w:tcPr>
          <w:p w:rsidR="006B4E6E" w:rsidRPr="00DF5BA1" w:rsidRDefault="006B4E6E" w:rsidP="006B4E6E">
            <w:pPr>
              <w:pStyle w:val="1"/>
              <w:tabs>
                <w:tab w:val="left" w:pos="0"/>
              </w:tabs>
              <w:spacing w:before="0" w:line="240" w:lineRule="auto"/>
              <w:ind w:right="20"/>
              <w:jc w:val="left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Пропорционально прямым затратам по </w:t>
            </w:r>
            <w:r w:rsidR="00D507B9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Заработной плате (КФО 4), </w:t>
            </w: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материальным затратам</w:t>
            </w:r>
            <w:r w:rsidR="00D507B9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(КФО 2)</w:t>
            </w:r>
          </w:p>
        </w:tc>
      </w:tr>
      <w:tr w:rsidR="009F3D43" w:rsidRPr="009F1320" w:rsidTr="00A63C0D">
        <w:trPr>
          <w:trHeight w:val="3196"/>
        </w:trPr>
        <w:tc>
          <w:tcPr>
            <w:tcW w:w="1789" w:type="dxa"/>
          </w:tcPr>
          <w:p w:rsidR="009F3D43" w:rsidRPr="00A63C0D" w:rsidRDefault="009F3D43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63C0D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Расходы будущих периодов</w:t>
            </w:r>
          </w:p>
        </w:tc>
        <w:tc>
          <w:tcPr>
            <w:tcW w:w="1560" w:type="dxa"/>
          </w:tcPr>
          <w:p w:rsidR="009F3D43" w:rsidRPr="00A63C0D" w:rsidRDefault="009F3D43" w:rsidP="00230822">
            <w:pPr>
              <w:pStyle w:val="1"/>
              <w:tabs>
                <w:tab w:val="left" w:pos="0"/>
              </w:tabs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63C0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0 401 50 000</w:t>
            </w:r>
          </w:p>
        </w:tc>
        <w:tc>
          <w:tcPr>
            <w:tcW w:w="2126" w:type="dxa"/>
          </w:tcPr>
          <w:p w:rsidR="009F3D43" w:rsidRPr="00A63C0D" w:rsidRDefault="009F3D43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63C0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Порядок признания расходов по приобретению неисключительных прав пользования программными продуктами (базами данных) сроком использования не более 12 месяцев за пределами одного финансового года (отчетного периода)</w:t>
            </w:r>
          </w:p>
        </w:tc>
        <w:tc>
          <w:tcPr>
            <w:tcW w:w="4090" w:type="dxa"/>
          </w:tcPr>
          <w:p w:rsidR="009F3D43" w:rsidRPr="00A63C0D" w:rsidRDefault="009F3D43" w:rsidP="009F3D43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</w:pPr>
            <w:r w:rsidRPr="00A63C0D"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  <w:t>Расходы по договорам на приобретение неисключительных права пользования в отношении баз данных, используемых не более 12 месяцев, но за пределами отчетного периода, относятся на расходы будущих периодов и списываются на финансовый результат текущего финансового года равными долями ежемесячно в течение срока действия лицензии</w:t>
            </w:r>
          </w:p>
        </w:tc>
      </w:tr>
      <w:tr w:rsidR="009F3D43" w:rsidRPr="009F1320" w:rsidTr="00A63C0D">
        <w:trPr>
          <w:trHeight w:val="159"/>
        </w:trPr>
        <w:tc>
          <w:tcPr>
            <w:tcW w:w="1789" w:type="dxa"/>
            <w:vMerge w:val="restart"/>
          </w:tcPr>
          <w:p w:rsidR="009F3D43" w:rsidRPr="00A63C0D" w:rsidRDefault="009F3D43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63C0D">
              <w:rPr>
                <w:rFonts w:ascii="Liberation Serif" w:hAnsi="Liberation Serif" w:cs="Liberation Serif"/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1560" w:type="dxa"/>
            <w:vMerge w:val="restart"/>
          </w:tcPr>
          <w:p w:rsidR="009F3D43" w:rsidRPr="00A63C0D" w:rsidRDefault="009F3D43" w:rsidP="00230822">
            <w:pPr>
              <w:pStyle w:val="1"/>
              <w:tabs>
                <w:tab w:val="left" w:pos="0"/>
              </w:tabs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63C0D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0 401 60 000</w:t>
            </w:r>
          </w:p>
        </w:tc>
        <w:tc>
          <w:tcPr>
            <w:tcW w:w="2126" w:type="dxa"/>
          </w:tcPr>
          <w:p w:rsidR="009F3D43" w:rsidRPr="00A63C0D" w:rsidRDefault="009F3D43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63C0D">
              <w:rPr>
                <w:rFonts w:ascii="Liberation Serif" w:hAnsi="Liberation Serif" w:cs="Liberation Serif"/>
                <w:sz w:val="20"/>
                <w:szCs w:val="20"/>
              </w:rPr>
              <w:t>Периодичность расчета резерва отпусков</w:t>
            </w:r>
          </w:p>
        </w:tc>
        <w:tc>
          <w:tcPr>
            <w:tcW w:w="4090" w:type="dxa"/>
          </w:tcPr>
          <w:p w:rsidR="009F3D43" w:rsidRPr="00A63C0D" w:rsidRDefault="009F3D43" w:rsidP="009F3D43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</w:pPr>
            <w:r w:rsidRPr="00A63C0D"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  <w:t>Ежеквартально (на 31 марта, на 30 июня, на 30 сентября, на 31 декабря)</w:t>
            </w:r>
          </w:p>
        </w:tc>
      </w:tr>
      <w:tr w:rsidR="009F3D43" w:rsidRPr="009F1320" w:rsidTr="00A63C0D">
        <w:trPr>
          <w:trHeight w:val="292"/>
        </w:trPr>
        <w:tc>
          <w:tcPr>
            <w:tcW w:w="1789" w:type="dxa"/>
            <w:vMerge/>
          </w:tcPr>
          <w:p w:rsidR="009F3D43" w:rsidRPr="00A63C0D" w:rsidRDefault="009F3D43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F3D43" w:rsidRPr="00A63C0D" w:rsidRDefault="009F3D43" w:rsidP="00230822">
            <w:pPr>
              <w:pStyle w:val="1"/>
              <w:tabs>
                <w:tab w:val="left" w:pos="0"/>
              </w:tabs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9F3D43" w:rsidRPr="00A63C0D" w:rsidRDefault="009F3D43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63C0D">
              <w:rPr>
                <w:rFonts w:ascii="Liberation Serif" w:hAnsi="Liberation Serif" w:cs="Liberation Serif"/>
                <w:sz w:val="20"/>
                <w:szCs w:val="20"/>
              </w:rPr>
              <w:t>Порядок расчета резерва отпусков</w:t>
            </w:r>
          </w:p>
        </w:tc>
        <w:tc>
          <w:tcPr>
            <w:tcW w:w="4090" w:type="dxa"/>
          </w:tcPr>
          <w:p w:rsidR="009F3D43" w:rsidRPr="00A63C0D" w:rsidRDefault="009F3D43" w:rsidP="009F3D43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</w:pPr>
            <w:r w:rsidRPr="00A63C0D"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  <w:t>Обязательство на оплату отпусков = (К * СЗП),</w:t>
            </w:r>
            <w:r w:rsidRPr="00A63C0D"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  <w:tab/>
            </w:r>
          </w:p>
          <w:p w:rsidR="009F3D43" w:rsidRPr="00A63C0D" w:rsidRDefault="009F3D43" w:rsidP="009F3D43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</w:pPr>
            <w:r w:rsidRPr="00A63C0D"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  <w:t>где К - количество неиспользованных сотрудником дней отпуска по состоянию на конец расчетного периода;</w:t>
            </w:r>
          </w:p>
          <w:p w:rsidR="009F3D43" w:rsidRPr="00A63C0D" w:rsidRDefault="009F3D43" w:rsidP="009F3D43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</w:pPr>
            <w:r w:rsidRPr="00A63C0D"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  <w:t>СЗП - средний дневной заработок работника, определяемый по состоянию на конец расчетного периода в соответствии с п. 10 Положения об особенностях порядка исчисления средней заработной платы (утв. Постановлением Правительства РФ от 24.12.2007 № 922).</w:t>
            </w:r>
          </w:p>
          <w:p w:rsidR="009F3D43" w:rsidRPr="00A63C0D" w:rsidRDefault="009F3D43" w:rsidP="009F3D43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</w:pPr>
            <w:r w:rsidRPr="00A63C0D"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  <w:t>Обязательство на уплату страховых взносов = О * С,</w:t>
            </w:r>
            <w:r w:rsidRPr="00A63C0D"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  <w:tab/>
            </w:r>
          </w:p>
          <w:p w:rsidR="009F3D43" w:rsidRPr="00A63C0D" w:rsidRDefault="009F3D43" w:rsidP="009F3D43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</w:pPr>
            <w:r w:rsidRPr="00A63C0D"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  <w:t>где О – обязательство на оплату отпусков</w:t>
            </w:r>
          </w:p>
          <w:p w:rsidR="009F3D43" w:rsidRPr="00A63C0D" w:rsidRDefault="009F3D43" w:rsidP="009F3D43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</w:pPr>
            <w:r w:rsidRPr="00A63C0D"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  <w:t xml:space="preserve"> С - ставка страховых взносов по сотруднику.</w:t>
            </w:r>
          </w:p>
        </w:tc>
      </w:tr>
      <w:tr w:rsidR="009F3D43" w:rsidRPr="009F1320" w:rsidTr="00A63C0D">
        <w:trPr>
          <w:trHeight w:val="274"/>
        </w:trPr>
        <w:tc>
          <w:tcPr>
            <w:tcW w:w="1789" w:type="dxa"/>
            <w:vMerge/>
          </w:tcPr>
          <w:p w:rsidR="009F3D43" w:rsidRPr="00A63C0D" w:rsidRDefault="009F3D43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F3D43" w:rsidRPr="00A63C0D" w:rsidRDefault="009F3D43" w:rsidP="00230822">
            <w:pPr>
              <w:pStyle w:val="1"/>
              <w:tabs>
                <w:tab w:val="left" w:pos="0"/>
              </w:tabs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9F3D43" w:rsidRPr="00A63C0D" w:rsidRDefault="009F3D43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A63C0D">
              <w:rPr>
                <w:rFonts w:ascii="Liberation Serif" w:hAnsi="Liberation Serif" w:cs="Liberation Serif"/>
                <w:sz w:val="20"/>
                <w:szCs w:val="20"/>
              </w:rPr>
              <w:t>Порядок корректировки резерва отпусков</w:t>
            </w:r>
          </w:p>
        </w:tc>
        <w:tc>
          <w:tcPr>
            <w:tcW w:w="4090" w:type="dxa"/>
          </w:tcPr>
          <w:p w:rsidR="009F3D43" w:rsidRPr="00A63C0D" w:rsidRDefault="009F3D43" w:rsidP="009F3D43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</w:pPr>
            <w:r w:rsidRPr="00A63C0D"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  <w:t xml:space="preserve">Если рассчитанная величина резерва для оплаты отпусков больше суммы резерва, фактически учтенной на счете, резерв увеличивается на разницу между этими величинами. </w:t>
            </w:r>
          </w:p>
          <w:p w:rsidR="00EB30B9" w:rsidRPr="00A63C0D" w:rsidRDefault="009F3D43" w:rsidP="009F3D43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</w:pPr>
            <w:r w:rsidRPr="00A63C0D">
              <w:rPr>
                <w:rFonts w:ascii="Liberation Serif" w:hAnsi="Liberation Serif" w:cs="Liberation Serif"/>
                <w:sz w:val="20"/>
                <w:szCs w:val="20"/>
                <w:lang w:val="ru-RU" w:eastAsia="ru-RU"/>
              </w:rPr>
              <w:t>Если рассчитанная величина резерва для оплаты отпусков меньше суммы резерва, фактически учтенной на счете, резерв уменьшается на разницу между этими величинами.</w:t>
            </w:r>
          </w:p>
        </w:tc>
      </w:tr>
      <w:tr w:rsidR="00C3098A" w:rsidRPr="009F1320" w:rsidTr="00A63C0D">
        <w:trPr>
          <w:trHeight w:val="120"/>
        </w:trPr>
        <w:tc>
          <w:tcPr>
            <w:tcW w:w="1789" w:type="dxa"/>
          </w:tcPr>
          <w:p w:rsidR="00C3098A" w:rsidRPr="00DF5BA1" w:rsidRDefault="00EB30B9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Имущество, полученное в пользование</w:t>
            </w:r>
          </w:p>
        </w:tc>
        <w:tc>
          <w:tcPr>
            <w:tcW w:w="1560" w:type="dxa"/>
          </w:tcPr>
          <w:p w:rsidR="00C3098A" w:rsidRPr="00DF5BA1" w:rsidRDefault="00EB30B9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01</w:t>
            </w:r>
          </w:p>
        </w:tc>
        <w:tc>
          <w:tcPr>
            <w:tcW w:w="2126" w:type="dxa"/>
          </w:tcPr>
          <w:p w:rsidR="00C3098A" w:rsidRPr="00DF5BA1" w:rsidRDefault="00D82331" w:rsidP="00D82331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Учёт</w:t>
            </w:r>
          </w:p>
        </w:tc>
        <w:tc>
          <w:tcPr>
            <w:tcW w:w="4090" w:type="dxa"/>
          </w:tcPr>
          <w:p w:rsidR="00C3098A" w:rsidRPr="007172A8" w:rsidRDefault="005D7849" w:rsidP="007172A8">
            <w:pPr>
              <w:widowControl/>
              <w:autoSpaceDE/>
              <w:autoSpaceDN/>
              <w:rPr>
                <w:rFonts w:ascii="Liberation Serif" w:hAnsi="Liberation Serif"/>
                <w:sz w:val="20"/>
                <w:szCs w:val="20"/>
                <w:lang w:val="ru-RU" w:eastAsia="ru-RU"/>
              </w:rPr>
            </w:pPr>
            <w:r w:rsidRPr="005D7849">
              <w:rPr>
                <w:rFonts w:ascii="Liberation Serif" w:hAnsi="Liberation Serif"/>
                <w:sz w:val="20"/>
                <w:szCs w:val="20"/>
                <w:lang w:val="ru-RU" w:eastAsia="ru-RU"/>
              </w:rPr>
              <w:t xml:space="preserve">по стоимости, указанной передающей стороной в акте о приеме-передаче или ином документе, а если нет данных о стоимости - в условной оценке: один объект - один рубль. </w:t>
            </w:r>
          </w:p>
        </w:tc>
      </w:tr>
      <w:tr w:rsidR="00EB30B9" w:rsidRPr="009F1320" w:rsidTr="00A63C0D">
        <w:trPr>
          <w:trHeight w:val="172"/>
        </w:trPr>
        <w:tc>
          <w:tcPr>
            <w:tcW w:w="1789" w:type="dxa"/>
          </w:tcPr>
          <w:p w:rsidR="00EB30B9" w:rsidRPr="00DF5BA1" w:rsidRDefault="00EB30B9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Материальные ценности на хранении</w:t>
            </w:r>
          </w:p>
        </w:tc>
        <w:tc>
          <w:tcPr>
            <w:tcW w:w="1560" w:type="dxa"/>
          </w:tcPr>
          <w:p w:rsidR="00EB30B9" w:rsidRPr="00DF5BA1" w:rsidRDefault="00EB30B9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02</w:t>
            </w:r>
          </w:p>
        </w:tc>
        <w:tc>
          <w:tcPr>
            <w:tcW w:w="2126" w:type="dxa"/>
          </w:tcPr>
          <w:p w:rsidR="00EB30B9" w:rsidRPr="00DF5BA1" w:rsidRDefault="007D1EFF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Учёт</w:t>
            </w:r>
          </w:p>
        </w:tc>
        <w:tc>
          <w:tcPr>
            <w:tcW w:w="4090" w:type="dxa"/>
          </w:tcPr>
          <w:p w:rsidR="00EB30B9" w:rsidRPr="00DF5BA1" w:rsidRDefault="00AF2B06" w:rsidP="00D82331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В условной оценке 1 объект – 1 рубль.</w:t>
            </w:r>
          </w:p>
        </w:tc>
      </w:tr>
      <w:tr w:rsidR="00EB30B9" w:rsidRPr="006B4E6E" w:rsidTr="00FE59B0">
        <w:trPr>
          <w:trHeight w:val="425"/>
        </w:trPr>
        <w:tc>
          <w:tcPr>
            <w:tcW w:w="1789" w:type="dxa"/>
          </w:tcPr>
          <w:p w:rsidR="00FE59B0" w:rsidRPr="00FE59B0" w:rsidRDefault="00F34267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FE59B0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Бланки строгой отчётности</w:t>
            </w:r>
          </w:p>
        </w:tc>
        <w:tc>
          <w:tcPr>
            <w:tcW w:w="1560" w:type="dxa"/>
          </w:tcPr>
          <w:p w:rsidR="00EB30B9" w:rsidRPr="00F34267" w:rsidRDefault="00F34267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03</w:t>
            </w:r>
          </w:p>
        </w:tc>
        <w:tc>
          <w:tcPr>
            <w:tcW w:w="2126" w:type="dxa"/>
          </w:tcPr>
          <w:p w:rsidR="00EB30B9" w:rsidRPr="00DF5BA1" w:rsidRDefault="00F34267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Учёт</w:t>
            </w:r>
          </w:p>
        </w:tc>
        <w:tc>
          <w:tcPr>
            <w:tcW w:w="4090" w:type="dxa"/>
          </w:tcPr>
          <w:p w:rsidR="00EB30B9" w:rsidRPr="00DF5BA1" w:rsidRDefault="006B4E6E" w:rsidP="006B4E6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Условная оценка 1 бланк- 1 рубль.</w:t>
            </w:r>
          </w:p>
        </w:tc>
      </w:tr>
      <w:tr w:rsidR="00EB30B9" w:rsidRPr="009F1320" w:rsidTr="00A63C0D">
        <w:trPr>
          <w:trHeight w:val="1333"/>
        </w:trPr>
        <w:tc>
          <w:tcPr>
            <w:tcW w:w="1789" w:type="dxa"/>
          </w:tcPr>
          <w:p w:rsidR="00F34267" w:rsidRPr="00F34267" w:rsidRDefault="00F34267" w:rsidP="00F34267">
            <w:pPr>
              <w:widowControl/>
              <w:autoSpaceDE/>
              <w:autoSpaceDN/>
              <w:jc w:val="center"/>
              <w:rPr>
                <w:rFonts w:ascii="Liberation Serif" w:hAnsi="Liberation Serif"/>
                <w:sz w:val="20"/>
                <w:szCs w:val="20"/>
                <w:lang w:val="ru-RU" w:eastAsia="ru-RU"/>
              </w:rPr>
            </w:pPr>
            <w:r w:rsidRPr="00F34267">
              <w:rPr>
                <w:rFonts w:ascii="Liberation Serif" w:hAnsi="Liberation Serif" w:cs="Arial"/>
                <w:bCs/>
                <w:sz w:val="20"/>
                <w:szCs w:val="20"/>
                <w:lang w:val="ru-RU" w:eastAsia="ru-RU"/>
              </w:rPr>
              <w:t>Запасные части к транспортным средствам, выданные</w:t>
            </w:r>
            <w:r w:rsidRPr="00F34267">
              <w:rPr>
                <w:rFonts w:ascii="Liberation Serif" w:hAnsi="Liberation Serif"/>
                <w:sz w:val="20"/>
                <w:szCs w:val="20"/>
                <w:lang w:val="ru-RU" w:eastAsia="ru-RU"/>
              </w:rPr>
              <w:t xml:space="preserve"> </w:t>
            </w:r>
          </w:p>
          <w:p w:rsidR="00EB30B9" w:rsidRPr="00E368EF" w:rsidRDefault="00F34267" w:rsidP="00E368EF">
            <w:pPr>
              <w:widowControl/>
              <w:autoSpaceDE/>
              <w:autoSpaceDN/>
              <w:jc w:val="center"/>
              <w:rPr>
                <w:rFonts w:ascii="Liberation Serif" w:hAnsi="Liberation Serif"/>
                <w:sz w:val="20"/>
                <w:szCs w:val="20"/>
                <w:lang w:val="ru-RU" w:eastAsia="ru-RU"/>
              </w:rPr>
            </w:pPr>
            <w:r w:rsidRPr="00F34267">
              <w:rPr>
                <w:rFonts w:ascii="Liberation Serif" w:hAnsi="Liberation Serif" w:cs="Arial"/>
                <w:bCs/>
                <w:sz w:val="20"/>
                <w:szCs w:val="20"/>
                <w:lang w:val="ru-RU" w:eastAsia="ru-RU"/>
              </w:rPr>
              <w:t>взамен изношенных</w:t>
            </w:r>
            <w:r w:rsidRPr="00F34267">
              <w:rPr>
                <w:rFonts w:ascii="Liberation Serif" w:hAnsi="Liberation Serif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560" w:type="dxa"/>
          </w:tcPr>
          <w:p w:rsidR="00EB30B9" w:rsidRPr="00DF5BA1" w:rsidRDefault="00F34267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09</w:t>
            </w:r>
          </w:p>
        </w:tc>
        <w:tc>
          <w:tcPr>
            <w:tcW w:w="2126" w:type="dxa"/>
          </w:tcPr>
          <w:p w:rsidR="00EB30B9" w:rsidRPr="00DF5BA1" w:rsidRDefault="00F34267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Учёт</w:t>
            </w:r>
          </w:p>
        </w:tc>
        <w:tc>
          <w:tcPr>
            <w:tcW w:w="4090" w:type="dxa"/>
          </w:tcPr>
          <w:p w:rsidR="00EB30B9" w:rsidRPr="00DF5BA1" w:rsidRDefault="00F34267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Запасные части, выданные взамен изношенных учитываются по цене приобретения</w:t>
            </w:r>
          </w:p>
        </w:tc>
      </w:tr>
      <w:tr w:rsidR="00EB30B9" w:rsidRPr="009F1320" w:rsidTr="00A63C0D">
        <w:trPr>
          <w:trHeight w:val="99"/>
        </w:trPr>
        <w:tc>
          <w:tcPr>
            <w:tcW w:w="1789" w:type="dxa"/>
          </w:tcPr>
          <w:p w:rsidR="00EB30B9" w:rsidRPr="003613DC" w:rsidRDefault="00F34267" w:rsidP="003613DC">
            <w:pPr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F34267">
              <w:rPr>
                <w:rFonts w:ascii="Liberation Serif" w:hAnsi="Liberation Serif"/>
                <w:bCs/>
                <w:sz w:val="20"/>
                <w:szCs w:val="20"/>
              </w:rPr>
              <w:t>Обеспечение исполнения обязательств</w:t>
            </w:r>
            <w:r w:rsidRPr="00F3426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EB30B9" w:rsidRPr="00DF5BA1" w:rsidRDefault="00F34267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10</w:t>
            </w:r>
          </w:p>
        </w:tc>
        <w:tc>
          <w:tcPr>
            <w:tcW w:w="2126" w:type="dxa"/>
          </w:tcPr>
          <w:p w:rsidR="00EB30B9" w:rsidRPr="00DF5BA1" w:rsidRDefault="00F34267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Учёт</w:t>
            </w:r>
          </w:p>
        </w:tc>
        <w:tc>
          <w:tcPr>
            <w:tcW w:w="4090" w:type="dxa"/>
          </w:tcPr>
          <w:p w:rsidR="00EB30B9" w:rsidRPr="00DF5BA1" w:rsidRDefault="00F34267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В сумме и датой возникновения обязательства</w:t>
            </w:r>
          </w:p>
        </w:tc>
      </w:tr>
      <w:tr w:rsidR="00EB30B9" w:rsidRPr="009F1320" w:rsidTr="00A63C0D">
        <w:trPr>
          <w:trHeight w:val="806"/>
        </w:trPr>
        <w:tc>
          <w:tcPr>
            <w:tcW w:w="1789" w:type="dxa"/>
          </w:tcPr>
          <w:p w:rsidR="00EB30B9" w:rsidRPr="00DF5BA1" w:rsidRDefault="00F34267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lastRenderedPageBreak/>
              <w:t>Муниципальные гарантии</w:t>
            </w:r>
          </w:p>
        </w:tc>
        <w:tc>
          <w:tcPr>
            <w:tcW w:w="1560" w:type="dxa"/>
          </w:tcPr>
          <w:p w:rsidR="00EB30B9" w:rsidRPr="00DF5BA1" w:rsidRDefault="00F34267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11.2</w:t>
            </w:r>
          </w:p>
        </w:tc>
        <w:tc>
          <w:tcPr>
            <w:tcW w:w="2126" w:type="dxa"/>
          </w:tcPr>
          <w:p w:rsidR="00EB30B9" w:rsidRPr="00DF5BA1" w:rsidRDefault="00F34267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Учёт</w:t>
            </w:r>
          </w:p>
        </w:tc>
        <w:tc>
          <w:tcPr>
            <w:tcW w:w="4090" w:type="dxa"/>
          </w:tcPr>
          <w:p w:rsidR="003613DC" w:rsidRPr="00DF5BA1" w:rsidRDefault="00F34267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В разрезе граждански прав и обязательств, в отношении которых представлены муниципальные гарантии по видам гарантии и сумм</w:t>
            </w:r>
          </w:p>
        </w:tc>
      </w:tr>
      <w:tr w:rsidR="003613DC" w:rsidRPr="009F1320" w:rsidTr="00A63C0D">
        <w:trPr>
          <w:trHeight w:val="327"/>
        </w:trPr>
        <w:tc>
          <w:tcPr>
            <w:tcW w:w="1789" w:type="dxa"/>
          </w:tcPr>
          <w:p w:rsidR="003613DC" w:rsidRPr="003613DC" w:rsidRDefault="003613DC" w:rsidP="003613DC">
            <w:pPr>
              <w:widowControl/>
              <w:autoSpaceDE/>
              <w:autoSpaceDN/>
              <w:jc w:val="center"/>
              <w:rPr>
                <w:rFonts w:ascii="Liberation Serif" w:hAnsi="Liberation Serif"/>
                <w:sz w:val="20"/>
                <w:szCs w:val="20"/>
                <w:lang w:val="ru-RU" w:eastAsia="ru-RU"/>
              </w:rPr>
            </w:pPr>
            <w:r w:rsidRPr="003613DC">
              <w:rPr>
                <w:rFonts w:ascii="Liberation Serif" w:hAnsi="Liberation Serif" w:cs="Arial"/>
                <w:bCs/>
                <w:sz w:val="20"/>
                <w:szCs w:val="20"/>
                <w:lang w:val="ru-RU" w:eastAsia="ru-RU"/>
              </w:rPr>
              <w:t>Задолженность, невостребованная кредиторами</w:t>
            </w:r>
            <w:r w:rsidRPr="003613DC">
              <w:rPr>
                <w:rFonts w:ascii="Liberation Serif" w:hAnsi="Liberation Serif"/>
                <w:sz w:val="20"/>
                <w:szCs w:val="20"/>
                <w:lang w:val="ru-RU" w:eastAsia="ru-RU"/>
              </w:rPr>
              <w:t xml:space="preserve"> </w:t>
            </w:r>
          </w:p>
          <w:p w:rsidR="003613DC" w:rsidRDefault="003613DC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3613DC" w:rsidRDefault="003613DC" w:rsidP="00230822">
            <w:pPr>
              <w:pStyle w:val="1"/>
              <w:tabs>
                <w:tab w:val="left" w:pos="0"/>
              </w:tabs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20</w:t>
            </w:r>
          </w:p>
        </w:tc>
        <w:tc>
          <w:tcPr>
            <w:tcW w:w="2126" w:type="dxa"/>
          </w:tcPr>
          <w:p w:rsidR="003613DC" w:rsidRDefault="003613DC" w:rsidP="00230822">
            <w:pPr>
              <w:pStyle w:val="1"/>
              <w:tabs>
                <w:tab w:val="left" w:pos="0"/>
              </w:tabs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Учёт</w:t>
            </w:r>
          </w:p>
        </w:tc>
        <w:tc>
          <w:tcPr>
            <w:tcW w:w="4090" w:type="dxa"/>
          </w:tcPr>
          <w:p w:rsidR="003613DC" w:rsidRDefault="003613DC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принимается к учёту по приказу (распоряжению), изданному на основании инвентаризационной описи, докладной записки; списывается - на основании решения инвентаризационной комиссии</w:t>
            </w:r>
          </w:p>
        </w:tc>
      </w:tr>
      <w:tr w:rsidR="00EB30B9" w:rsidRPr="009F1320" w:rsidTr="00A63C0D">
        <w:trPr>
          <w:trHeight w:val="700"/>
        </w:trPr>
        <w:tc>
          <w:tcPr>
            <w:tcW w:w="1789" w:type="dxa"/>
          </w:tcPr>
          <w:p w:rsidR="00EB30B9" w:rsidRDefault="00EB30B9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Основные средства в эксплуатации</w:t>
            </w:r>
          </w:p>
        </w:tc>
        <w:tc>
          <w:tcPr>
            <w:tcW w:w="1560" w:type="dxa"/>
          </w:tcPr>
          <w:p w:rsidR="005B4573" w:rsidRDefault="00EB30B9" w:rsidP="00230822">
            <w:pPr>
              <w:pStyle w:val="1"/>
              <w:tabs>
                <w:tab w:val="left" w:pos="0"/>
              </w:tabs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21</w:t>
            </w:r>
          </w:p>
        </w:tc>
        <w:tc>
          <w:tcPr>
            <w:tcW w:w="2126" w:type="dxa"/>
          </w:tcPr>
          <w:p w:rsidR="00EB30B9" w:rsidRDefault="00EB30B9" w:rsidP="00230822">
            <w:pPr>
              <w:pStyle w:val="1"/>
              <w:tabs>
                <w:tab w:val="left" w:pos="0"/>
              </w:tabs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Учет</w:t>
            </w:r>
          </w:p>
        </w:tc>
        <w:tc>
          <w:tcPr>
            <w:tcW w:w="4090" w:type="dxa"/>
          </w:tcPr>
          <w:p w:rsidR="00EB30B9" w:rsidRDefault="00EB30B9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DF5BA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По балансовой стоимости введенного в эксплуатацию объекта</w:t>
            </w:r>
          </w:p>
        </w:tc>
      </w:tr>
      <w:tr w:rsidR="005B4573" w:rsidRPr="009F1320" w:rsidTr="00A63C0D">
        <w:trPr>
          <w:trHeight w:val="1034"/>
        </w:trPr>
        <w:tc>
          <w:tcPr>
            <w:tcW w:w="1789" w:type="dxa"/>
          </w:tcPr>
          <w:p w:rsidR="005B4573" w:rsidRPr="005B4573" w:rsidRDefault="005B4573" w:rsidP="005B4573">
            <w:pPr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5B4573">
              <w:rPr>
                <w:rFonts w:ascii="Liberation Serif" w:hAnsi="Liberation Serif"/>
                <w:bCs/>
                <w:sz w:val="20"/>
                <w:szCs w:val="20"/>
                <w:lang w:val="ru-RU"/>
              </w:rPr>
              <w:t>Имущество, переданное в возмездное пользование (аренду)</w:t>
            </w:r>
            <w:r w:rsidRPr="005B4573"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5B4573" w:rsidRPr="00DF5BA1" w:rsidRDefault="005B4573" w:rsidP="00230822">
            <w:pPr>
              <w:pStyle w:val="1"/>
              <w:tabs>
                <w:tab w:val="left" w:pos="0"/>
              </w:tabs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25</w:t>
            </w:r>
          </w:p>
        </w:tc>
        <w:tc>
          <w:tcPr>
            <w:tcW w:w="2126" w:type="dxa"/>
          </w:tcPr>
          <w:p w:rsidR="005B4573" w:rsidRPr="00DF5BA1" w:rsidRDefault="00E368EF" w:rsidP="00230822">
            <w:pPr>
              <w:pStyle w:val="1"/>
              <w:tabs>
                <w:tab w:val="left" w:pos="0"/>
              </w:tabs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Учёт</w:t>
            </w:r>
          </w:p>
        </w:tc>
        <w:tc>
          <w:tcPr>
            <w:tcW w:w="4090" w:type="dxa"/>
          </w:tcPr>
          <w:p w:rsidR="005B4573" w:rsidRPr="00DF5BA1" w:rsidRDefault="005B4573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на основании договора и акта о приёме-передаче</w:t>
            </w:r>
          </w:p>
        </w:tc>
      </w:tr>
      <w:tr w:rsidR="005B4573" w:rsidRPr="009F1320" w:rsidTr="00A63C0D">
        <w:trPr>
          <w:trHeight w:val="725"/>
        </w:trPr>
        <w:tc>
          <w:tcPr>
            <w:tcW w:w="1789" w:type="dxa"/>
          </w:tcPr>
          <w:p w:rsidR="003613DC" w:rsidRPr="003613DC" w:rsidRDefault="003613DC" w:rsidP="003613D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613DC">
              <w:rPr>
                <w:rFonts w:ascii="Liberation Serif" w:hAnsi="Liberation Serif"/>
                <w:bCs/>
                <w:sz w:val="20"/>
                <w:szCs w:val="20"/>
              </w:rPr>
              <w:t>Имущество, переданное в безвозмездное пользование</w:t>
            </w:r>
            <w:r w:rsidRPr="003613DC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5B4573" w:rsidRPr="00DF5BA1" w:rsidRDefault="005B4573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B4573" w:rsidRDefault="005B4573" w:rsidP="00230822">
            <w:pPr>
              <w:pStyle w:val="1"/>
              <w:tabs>
                <w:tab w:val="left" w:pos="0"/>
              </w:tabs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26</w:t>
            </w:r>
          </w:p>
        </w:tc>
        <w:tc>
          <w:tcPr>
            <w:tcW w:w="2126" w:type="dxa"/>
          </w:tcPr>
          <w:p w:rsidR="005B4573" w:rsidRPr="00DF5BA1" w:rsidRDefault="005B4573" w:rsidP="00230822">
            <w:pPr>
              <w:pStyle w:val="1"/>
              <w:tabs>
                <w:tab w:val="left" w:pos="0"/>
              </w:tabs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Учёт</w:t>
            </w:r>
          </w:p>
        </w:tc>
        <w:tc>
          <w:tcPr>
            <w:tcW w:w="4090" w:type="dxa"/>
          </w:tcPr>
          <w:p w:rsidR="005B4573" w:rsidRPr="00DF5BA1" w:rsidRDefault="003613DC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на основании договора о безвозмездном пользовании и акта о приёме-передаче объектов нефинансовых активов</w:t>
            </w:r>
          </w:p>
        </w:tc>
      </w:tr>
      <w:tr w:rsidR="005B4573" w:rsidRPr="009F1320" w:rsidTr="00A63C0D">
        <w:trPr>
          <w:trHeight w:val="1629"/>
        </w:trPr>
        <w:tc>
          <w:tcPr>
            <w:tcW w:w="1789" w:type="dxa"/>
          </w:tcPr>
          <w:p w:rsidR="00233A0F" w:rsidRPr="005B4573" w:rsidRDefault="005B4573" w:rsidP="005B4573">
            <w:pPr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5B4573">
              <w:rPr>
                <w:rFonts w:ascii="Liberation Serif" w:hAnsi="Liberation Serif"/>
                <w:bCs/>
                <w:sz w:val="20"/>
                <w:szCs w:val="20"/>
                <w:lang w:val="ru-RU"/>
              </w:rPr>
              <w:t>Материальные ценности, выданные в личное пользование работникам (сотрудникам)</w:t>
            </w:r>
            <w:r w:rsidRPr="005B4573"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5B4573" w:rsidRDefault="005B4573" w:rsidP="00230822">
            <w:pPr>
              <w:pStyle w:val="1"/>
              <w:tabs>
                <w:tab w:val="left" w:pos="0"/>
              </w:tabs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27</w:t>
            </w:r>
          </w:p>
        </w:tc>
        <w:tc>
          <w:tcPr>
            <w:tcW w:w="2126" w:type="dxa"/>
          </w:tcPr>
          <w:p w:rsidR="005B4573" w:rsidRPr="00DF5BA1" w:rsidRDefault="005B4573" w:rsidP="00230822">
            <w:pPr>
              <w:pStyle w:val="1"/>
              <w:tabs>
                <w:tab w:val="left" w:pos="0"/>
              </w:tabs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Учёт</w:t>
            </w:r>
          </w:p>
        </w:tc>
        <w:tc>
          <w:tcPr>
            <w:tcW w:w="4090" w:type="dxa"/>
          </w:tcPr>
          <w:p w:rsidR="005B4573" w:rsidRPr="00DF5BA1" w:rsidRDefault="005B4573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Специальная одежда, выданные в личное пользование сотрудникам учитывается по цене приобретения</w:t>
            </w:r>
          </w:p>
        </w:tc>
      </w:tr>
    </w:tbl>
    <w:p w:rsidR="00C3098A" w:rsidRPr="00DF5BA1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Pr="00DF5BA1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Pr="00DF5BA1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Pr="00DF5BA1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Pr="00DF5BA1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Pr="00DF5BA1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Pr="00DF5BA1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Pr="00DF5BA1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Pr="00DF5BA1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Pr="00DF5BA1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Pr="00DF5BA1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Pr="00DF5BA1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Pr="00DF5BA1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Pr="00DF5BA1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663FF7" w:rsidRPr="00DF5BA1" w:rsidRDefault="00663FF7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663FF7" w:rsidRPr="00DF5BA1" w:rsidRDefault="00663FF7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Pr="00DF5BA1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2F6E31" w:rsidRPr="00DF5BA1" w:rsidRDefault="002F6E31" w:rsidP="00521898">
      <w:pPr>
        <w:pStyle w:val="a3"/>
        <w:spacing w:before="172" w:line="374" w:lineRule="auto"/>
        <w:ind w:left="107" w:right="113" w:firstLine="13"/>
        <w:rPr>
          <w:rFonts w:ascii="Liberation Serif" w:hAnsi="Liberation Serif" w:cs="Liberation Serif"/>
          <w:color w:val="161616"/>
          <w:lang w:val="ru-RU"/>
        </w:rPr>
      </w:pPr>
    </w:p>
    <w:sectPr w:rsidR="002F6E31" w:rsidRPr="00DF5BA1" w:rsidSect="00FE59B0">
      <w:headerReference w:type="default" r:id="rId8"/>
      <w:pgSz w:w="11920" w:h="16840"/>
      <w:pgMar w:top="709" w:right="850" w:bottom="851" w:left="1701" w:header="1553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2F4" w:rsidRDefault="002A42F4" w:rsidP="002F6E31">
      <w:r>
        <w:separator/>
      </w:r>
    </w:p>
  </w:endnote>
  <w:endnote w:type="continuationSeparator" w:id="0">
    <w:p w:rsidR="002A42F4" w:rsidRDefault="002A42F4" w:rsidP="002F6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2F4" w:rsidRDefault="002A42F4" w:rsidP="002F6E31">
      <w:r>
        <w:separator/>
      </w:r>
    </w:p>
  </w:footnote>
  <w:footnote w:type="continuationSeparator" w:id="0">
    <w:p w:rsidR="002A42F4" w:rsidRDefault="002A42F4" w:rsidP="002F6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31" w:rsidRDefault="003B2F25">
    <w:pPr>
      <w:pStyle w:val="a3"/>
      <w:spacing w:line="14" w:lineRule="auto"/>
      <w:jc w:val="left"/>
      <w:rPr>
        <w:sz w:val="20"/>
      </w:rPr>
    </w:pPr>
    <w:r w:rsidRPr="003B2F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95pt;margin-top:76.75pt;width:9.65pt;height:18.1pt;z-index:-251658752;mso-position-horizontal-relative:page;mso-position-vertical-relative:page" filled="f" stroked="f">
          <v:textbox style="mso-next-textbox:#_x0000_s1025" inset="0,0,0,0">
            <w:txbxContent>
              <w:p w:rsidR="002F6E31" w:rsidRPr="00F94847" w:rsidRDefault="002F6E31" w:rsidP="00F94847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01E"/>
    <w:multiLevelType w:val="hybridMultilevel"/>
    <w:tmpl w:val="B2782168"/>
    <w:lvl w:ilvl="0" w:tplc="022469C8">
      <w:numFmt w:val="bullet"/>
      <w:lvlText w:val="-"/>
      <w:lvlJc w:val="left"/>
      <w:pPr>
        <w:ind w:left="107" w:hanging="232"/>
      </w:pPr>
      <w:rPr>
        <w:rFonts w:hint="default"/>
        <w:w w:val="102"/>
      </w:rPr>
    </w:lvl>
    <w:lvl w:ilvl="1" w:tplc="9CFE537A">
      <w:numFmt w:val="bullet"/>
      <w:lvlText w:val="•"/>
      <w:lvlJc w:val="left"/>
      <w:pPr>
        <w:ind w:left="1118" w:hanging="232"/>
      </w:pPr>
      <w:rPr>
        <w:rFonts w:hint="default"/>
      </w:rPr>
    </w:lvl>
    <w:lvl w:ilvl="2" w:tplc="C1AC848A">
      <w:numFmt w:val="bullet"/>
      <w:lvlText w:val="•"/>
      <w:lvlJc w:val="left"/>
      <w:pPr>
        <w:ind w:left="2136" w:hanging="232"/>
      </w:pPr>
      <w:rPr>
        <w:rFonts w:hint="default"/>
      </w:rPr>
    </w:lvl>
    <w:lvl w:ilvl="3" w:tplc="08C8350C">
      <w:numFmt w:val="bullet"/>
      <w:lvlText w:val="•"/>
      <w:lvlJc w:val="left"/>
      <w:pPr>
        <w:ind w:left="3154" w:hanging="232"/>
      </w:pPr>
      <w:rPr>
        <w:rFonts w:hint="default"/>
      </w:rPr>
    </w:lvl>
    <w:lvl w:ilvl="4" w:tplc="8DFEB916">
      <w:numFmt w:val="bullet"/>
      <w:lvlText w:val="•"/>
      <w:lvlJc w:val="left"/>
      <w:pPr>
        <w:ind w:left="4172" w:hanging="232"/>
      </w:pPr>
      <w:rPr>
        <w:rFonts w:hint="default"/>
      </w:rPr>
    </w:lvl>
    <w:lvl w:ilvl="5" w:tplc="25E4F3E8">
      <w:numFmt w:val="bullet"/>
      <w:lvlText w:val="•"/>
      <w:lvlJc w:val="left"/>
      <w:pPr>
        <w:ind w:left="5190" w:hanging="232"/>
      </w:pPr>
      <w:rPr>
        <w:rFonts w:hint="default"/>
      </w:rPr>
    </w:lvl>
    <w:lvl w:ilvl="6" w:tplc="C090F5AC">
      <w:numFmt w:val="bullet"/>
      <w:lvlText w:val="•"/>
      <w:lvlJc w:val="left"/>
      <w:pPr>
        <w:ind w:left="6208" w:hanging="232"/>
      </w:pPr>
      <w:rPr>
        <w:rFonts w:hint="default"/>
      </w:rPr>
    </w:lvl>
    <w:lvl w:ilvl="7" w:tplc="64FC7B74">
      <w:numFmt w:val="bullet"/>
      <w:lvlText w:val="•"/>
      <w:lvlJc w:val="left"/>
      <w:pPr>
        <w:ind w:left="7226" w:hanging="232"/>
      </w:pPr>
      <w:rPr>
        <w:rFonts w:hint="default"/>
      </w:rPr>
    </w:lvl>
    <w:lvl w:ilvl="8" w:tplc="A03A5B98">
      <w:numFmt w:val="bullet"/>
      <w:lvlText w:val="•"/>
      <w:lvlJc w:val="left"/>
      <w:pPr>
        <w:ind w:left="8244" w:hanging="232"/>
      </w:pPr>
      <w:rPr>
        <w:rFonts w:hint="default"/>
      </w:rPr>
    </w:lvl>
  </w:abstractNum>
  <w:abstractNum w:abstractNumId="1">
    <w:nsid w:val="40FF2A2D"/>
    <w:multiLevelType w:val="hybridMultilevel"/>
    <w:tmpl w:val="41408528"/>
    <w:lvl w:ilvl="0" w:tplc="DD7ED3AC">
      <w:numFmt w:val="bullet"/>
      <w:lvlText w:val="-"/>
      <w:lvlJc w:val="left"/>
      <w:pPr>
        <w:ind w:left="136" w:hanging="193"/>
      </w:pPr>
      <w:rPr>
        <w:rFonts w:ascii="Times New Roman" w:eastAsia="Times New Roman" w:hAnsi="Times New Roman" w:cs="Times New Roman" w:hint="default"/>
        <w:color w:val="1A1A1A"/>
        <w:w w:val="104"/>
        <w:sz w:val="27"/>
        <w:szCs w:val="27"/>
      </w:rPr>
    </w:lvl>
    <w:lvl w:ilvl="1" w:tplc="E5B63B2C">
      <w:numFmt w:val="bullet"/>
      <w:lvlText w:val="-"/>
      <w:lvlJc w:val="left"/>
      <w:pPr>
        <w:ind w:left="124" w:hanging="319"/>
      </w:pPr>
      <w:rPr>
        <w:rFonts w:hint="default"/>
        <w:w w:val="102"/>
      </w:rPr>
    </w:lvl>
    <w:lvl w:ilvl="2" w:tplc="6ABE745C">
      <w:numFmt w:val="bullet"/>
      <w:lvlText w:val="•"/>
      <w:lvlJc w:val="left"/>
      <w:pPr>
        <w:ind w:left="1271" w:hanging="319"/>
      </w:pPr>
      <w:rPr>
        <w:rFonts w:hint="default"/>
      </w:rPr>
    </w:lvl>
    <w:lvl w:ilvl="3" w:tplc="675001AE">
      <w:numFmt w:val="bullet"/>
      <w:lvlText w:val="•"/>
      <w:lvlJc w:val="left"/>
      <w:pPr>
        <w:ind w:left="2402" w:hanging="319"/>
      </w:pPr>
      <w:rPr>
        <w:rFonts w:hint="default"/>
      </w:rPr>
    </w:lvl>
    <w:lvl w:ilvl="4" w:tplc="B2CCE3A4">
      <w:numFmt w:val="bullet"/>
      <w:lvlText w:val="•"/>
      <w:lvlJc w:val="left"/>
      <w:pPr>
        <w:ind w:left="3533" w:hanging="319"/>
      </w:pPr>
      <w:rPr>
        <w:rFonts w:hint="default"/>
      </w:rPr>
    </w:lvl>
    <w:lvl w:ilvl="5" w:tplc="874E3BB0">
      <w:numFmt w:val="bullet"/>
      <w:lvlText w:val="•"/>
      <w:lvlJc w:val="left"/>
      <w:pPr>
        <w:ind w:left="4664" w:hanging="319"/>
      </w:pPr>
      <w:rPr>
        <w:rFonts w:hint="default"/>
      </w:rPr>
    </w:lvl>
    <w:lvl w:ilvl="6" w:tplc="30CE998E">
      <w:numFmt w:val="bullet"/>
      <w:lvlText w:val="•"/>
      <w:lvlJc w:val="left"/>
      <w:pPr>
        <w:ind w:left="5795" w:hanging="319"/>
      </w:pPr>
      <w:rPr>
        <w:rFonts w:hint="default"/>
      </w:rPr>
    </w:lvl>
    <w:lvl w:ilvl="7" w:tplc="7272F36C">
      <w:numFmt w:val="bullet"/>
      <w:lvlText w:val="•"/>
      <w:lvlJc w:val="left"/>
      <w:pPr>
        <w:ind w:left="6926" w:hanging="319"/>
      </w:pPr>
      <w:rPr>
        <w:rFonts w:hint="default"/>
      </w:rPr>
    </w:lvl>
    <w:lvl w:ilvl="8" w:tplc="24D217F8">
      <w:numFmt w:val="bullet"/>
      <w:lvlText w:val="•"/>
      <w:lvlJc w:val="left"/>
      <w:pPr>
        <w:ind w:left="8057" w:hanging="319"/>
      </w:pPr>
      <w:rPr>
        <w:rFonts w:hint="default"/>
      </w:rPr>
    </w:lvl>
  </w:abstractNum>
  <w:abstractNum w:abstractNumId="2">
    <w:nsid w:val="4E073938"/>
    <w:multiLevelType w:val="multilevel"/>
    <w:tmpl w:val="67E07C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131082"/>
    <w:multiLevelType w:val="multilevel"/>
    <w:tmpl w:val="1154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F6E31"/>
    <w:rsid w:val="00000692"/>
    <w:rsid w:val="00011DAC"/>
    <w:rsid w:val="000859DC"/>
    <w:rsid w:val="00091EA9"/>
    <w:rsid w:val="000A0321"/>
    <w:rsid w:val="000A1093"/>
    <w:rsid w:val="000A31E1"/>
    <w:rsid w:val="000A612C"/>
    <w:rsid w:val="000B4CE1"/>
    <w:rsid w:val="000C5B5D"/>
    <w:rsid w:val="000D4246"/>
    <w:rsid w:val="000D758F"/>
    <w:rsid w:val="000F0E97"/>
    <w:rsid w:val="00120ED1"/>
    <w:rsid w:val="0013456E"/>
    <w:rsid w:val="00152C7C"/>
    <w:rsid w:val="00152F69"/>
    <w:rsid w:val="0017251E"/>
    <w:rsid w:val="00174D38"/>
    <w:rsid w:val="001B32CA"/>
    <w:rsid w:val="001B676C"/>
    <w:rsid w:val="001C3BC3"/>
    <w:rsid w:val="001C615C"/>
    <w:rsid w:val="001C6714"/>
    <w:rsid w:val="001F7C8C"/>
    <w:rsid w:val="00230822"/>
    <w:rsid w:val="00233A0F"/>
    <w:rsid w:val="00242C58"/>
    <w:rsid w:val="002611D4"/>
    <w:rsid w:val="002A3EA6"/>
    <w:rsid w:val="002A42F4"/>
    <w:rsid w:val="002D2F93"/>
    <w:rsid w:val="002F6E31"/>
    <w:rsid w:val="00313522"/>
    <w:rsid w:val="003613DC"/>
    <w:rsid w:val="003632D0"/>
    <w:rsid w:val="00365792"/>
    <w:rsid w:val="003B073C"/>
    <w:rsid w:val="003B2F25"/>
    <w:rsid w:val="003D1BB0"/>
    <w:rsid w:val="003E5054"/>
    <w:rsid w:val="003F1F6D"/>
    <w:rsid w:val="00427BED"/>
    <w:rsid w:val="00442528"/>
    <w:rsid w:val="00443976"/>
    <w:rsid w:val="004462CE"/>
    <w:rsid w:val="00490635"/>
    <w:rsid w:val="004A0609"/>
    <w:rsid w:val="004C1809"/>
    <w:rsid w:val="00515AE5"/>
    <w:rsid w:val="00521898"/>
    <w:rsid w:val="00525806"/>
    <w:rsid w:val="00544173"/>
    <w:rsid w:val="005515B3"/>
    <w:rsid w:val="00554661"/>
    <w:rsid w:val="00585007"/>
    <w:rsid w:val="005B2FC3"/>
    <w:rsid w:val="005B4573"/>
    <w:rsid w:val="005D7849"/>
    <w:rsid w:val="005F1DB5"/>
    <w:rsid w:val="005F3E22"/>
    <w:rsid w:val="005F5913"/>
    <w:rsid w:val="00663FF7"/>
    <w:rsid w:val="006764EB"/>
    <w:rsid w:val="00697E63"/>
    <w:rsid w:val="006B4E6E"/>
    <w:rsid w:val="006E3779"/>
    <w:rsid w:val="006E58A0"/>
    <w:rsid w:val="006E60C1"/>
    <w:rsid w:val="007172A8"/>
    <w:rsid w:val="00731443"/>
    <w:rsid w:val="00751D52"/>
    <w:rsid w:val="007618DE"/>
    <w:rsid w:val="00772775"/>
    <w:rsid w:val="00775D71"/>
    <w:rsid w:val="007A5861"/>
    <w:rsid w:val="007B449A"/>
    <w:rsid w:val="007D1EFF"/>
    <w:rsid w:val="00804754"/>
    <w:rsid w:val="008461CE"/>
    <w:rsid w:val="0086153B"/>
    <w:rsid w:val="008669E4"/>
    <w:rsid w:val="008A764B"/>
    <w:rsid w:val="008B5538"/>
    <w:rsid w:val="008B7EC5"/>
    <w:rsid w:val="008E6202"/>
    <w:rsid w:val="00921241"/>
    <w:rsid w:val="00925311"/>
    <w:rsid w:val="00941AC7"/>
    <w:rsid w:val="009603A1"/>
    <w:rsid w:val="009747BD"/>
    <w:rsid w:val="00996B4A"/>
    <w:rsid w:val="009C08BF"/>
    <w:rsid w:val="009C7619"/>
    <w:rsid w:val="009E5E94"/>
    <w:rsid w:val="009F0945"/>
    <w:rsid w:val="009F1320"/>
    <w:rsid w:val="009F3D43"/>
    <w:rsid w:val="00A27C81"/>
    <w:rsid w:val="00A319F4"/>
    <w:rsid w:val="00A33916"/>
    <w:rsid w:val="00A5121A"/>
    <w:rsid w:val="00A63C0D"/>
    <w:rsid w:val="00A703B7"/>
    <w:rsid w:val="00A96BD0"/>
    <w:rsid w:val="00AA50E7"/>
    <w:rsid w:val="00AE6FB3"/>
    <w:rsid w:val="00AF2B06"/>
    <w:rsid w:val="00B04DA9"/>
    <w:rsid w:val="00B230E2"/>
    <w:rsid w:val="00B27699"/>
    <w:rsid w:val="00B708DF"/>
    <w:rsid w:val="00B826E3"/>
    <w:rsid w:val="00BD064C"/>
    <w:rsid w:val="00BD2847"/>
    <w:rsid w:val="00BF0282"/>
    <w:rsid w:val="00C036D6"/>
    <w:rsid w:val="00C3098A"/>
    <w:rsid w:val="00C44BF4"/>
    <w:rsid w:val="00C55AB1"/>
    <w:rsid w:val="00C6725B"/>
    <w:rsid w:val="00C80AB3"/>
    <w:rsid w:val="00C93D68"/>
    <w:rsid w:val="00CB7848"/>
    <w:rsid w:val="00CF6CE8"/>
    <w:rsid w:val="00D04236"/>
    <w:rsid w:val="00D15681"/>
    <w:rsid w:val="00D507B9"/>
    <w:rsid w:val="00D73BBE"/>
    <w:rsid w:val="00D82331"/>
    <w:rsid w:val="00D845FD"/>
    <w:rsid w:val="00D87655"/>
    <w:rsid w:val="00DB75BD"/>
    <w:rsid w:val="00DC5CC0"/>
    <w:rsid w:val="00DE5B0D"/>
    <w:rsid w:val="00DF5BA1"/>
    <w:rsid w:val="00E0003E"/>
    <w:rsid w:val="00E0386C"/>
    <w:rsid w:val="00E251C4"/>
    <w:rsid w:val="00E33DF9"/>
    <w:rsid w:val="00E35165"/>
    <w:rsid w:val="00E368EF"/>
    <w:rsid w:val="00E47256"/>
    <w:rsid w:val="00E85D8C"/>
    <w:rsid w:val="00EA1A08"/>
    <w:rsid w:val="00EB30B9"/>
    <w:rsid w:val="00EC3F0C"/>
    <w:rsid w:val="00EC6A22"/>
    <w:rsid w:val="00EC73E0"/>
    <w:rsid w:val="00ED0089"/>
    <w:rsid w:val="00F34267"/>
    <w:rsid w:val="00F66055"/>
    <w:rsid w:val="00F82194"/>
    <w:rsid w:val="00F86A0E"/>
    <w:rsid w:val="00F94847"/>
    <w:rsid w:val="00F9512F"/>
    <w:rsid w:val="00FA1DCE"/>
    <w:rsid w:val="00FB3B7F"/>
    <w:rsid w:val="00FD6930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E3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E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E31"/>
    <w:pPr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2F6E31"/>
    <w:pPr>
      <w:spacing w:before="6"/>
      <w:ind w:left="714" w:right="1378"/>
      <w:jc w:val="center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2F6E31"/>
    <w:pPr>
      <w:spacing w:before="7"/>
      <w:ind w:left="107" w:firstLine="848"/>
      <w:jc w:val="both"/>
    </w:pPr>
  </w:style>
  <w:style w:type="paragraph" w:customStyle="1" w:styleId="TableParagraph">
    <w:name w:val="Table Paragraph"/>
    <w:basedOn w:val="a"/>
    <w:uiPriority w:val="1"/>
    <w:qFormat/>
    <w:rsid w:val="002F6E31"/>
  </w:style>
  <w:style w:type="character" w:customStyle="1" w:styleId="a5">
    <w:name w:val="Основной текст_"/>
    <w:basedOn w:val="a0"/>
    <w:link w:val="1"/>
    <w:rsid w:val="002D2F9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D2F93"/>
    <w:pPr>
      <w:widowControl/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paragraph" w:styleId="a6">
    <w:name w:val="footer"/>
    <w:basedOn w:val="a"/>
    <w:link w:val="a7"/>
    <w:uiPriority w:val="99"/>
    <w:semiHidden/>
    <w:unhideWhenUsed/>
    <w:rsid w:val="007A58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861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7A58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5861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C30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нак примечания1"/>
    <w:rsid w:val="009F3D43"/>
    <w:rPr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D7849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44B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99432">
          <w:marLeft w:val="0"/>
          <w:marRight w:val="0"/>
          <w:marTop w:val="0"/>
          <w:marBottom w:val="0"/>
          <w:divBdr>
            <w:top w:val="single" w:sz="4" w:space="3" w:color="000000"/>
            <w:left w:val="single" w:sz="4" w:space="3" w:color="000000"/>
            <w:bottom w:val="single" w:sz="4" w:space="3" w:color="000000"/>
            <w:right w:val="single" w:sz="4" w:space="3" w:color="000000"/>
          </w:divBdr>
          <w:divsChild>
            <w:div w:id="16978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4292">
          <w:marLeft w:val="0"/>
          <w:marRight w:val="0"/>
          <w:marTop w:val="0"/>
          <w:marBottom w:val="0"/>
          <w:divBdr>
            <w:top w:val="single" w:sz="4" w:space="3" w:color="000000"/>
            <w:left w:val="single" w:sz="4" w:space="3" w:color="000000"/>
            <w:bottom w:val="single" w:sz="4" w:space="3" w:color="000000"/>
            <w:right w:val="single" w:sz="4" w:space="3" w:color="000000"/>
          </w:divBdr>
          <w:divsChild>
            <w:div w:id="6479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5827">
          <w:marLeft w:val="0"/>
          <w:marRight w:val="0"/>
          <w:marTop w:val="0"/>
          <w:marBottom w:val="0"/>
          <w:divBdr>
            <w:top w:val="single" w:sz="4" w:space="3" w:color="000000"/>
            <w:left w:val="single" w:sz="4" w:space="3" w:color="000000"/>
            <w:bottom w:val="single" w:sz="4" w:space="3" w:color="000000"/>
            <w:right w:val="single" w:sz="4" w:space="3" w:color="000000"/>
          </w:divBdr>
          <w:divsChild>
            <w:div w:id="3646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9D0F6-2E0F-48D9-BF0C-608F4C51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2023-03-02T07:00:00Z</cp:lastPrinted>
  <dcterms:created xsi:type="dcterms:W3CDTF">2023-03-17T06:34:00Z</dcterms:created>
  <dcterms:modified xsi:type="dcterms:W3CDTF">2023-03-23T07:56:00Z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Xerox AltaLink C8030</vt:lpwstr>
  </property>
  <property fmtid="{D5CDD505-2E9C-101B-9397-08002B2CF9AE}" pid="4" name="LastSaved">
    <vt:filetime>2019-12-30T00:00:00Z</vt:filetime>
  </property>
</Properties>
</file>